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B8377" w14:textId="79AB163B" w:rsidR="52BE3E15" w:rsidRPr="009660C4" w:rsidRDefault="6F08D85F" w:rsidP="009660C4">
      <w:pPr>
        <w:pStyle w:val="Title"/>
        <w:jc w:val="left"/>
        <w:rPr>
          <w:rFonts w:ascii="Montserrat Light" w:eastAsia="Montserrat Light" w:hAnsi="Montserrat Light" w:cs="Montserrat Light"/>
          <w:sz w:val="36"/>
          <w:szCs w:val="36"/>
          <w:lang w:val="en-US"/>
        </w:rPr>
      </w:pPr>
      <w:r w:rsidRPr="4A4000CB">
        <w:rPr>
          <w:lang w:val="en-US"/>
        </w:rPr>
        <w:t>Dedalus identified as EHR vendor with most contracted beds outside the US for 3 consecutive years by KLAS Research</w:t>
      </w:r>
      <w:r w:rsidRPr="4A4000CB">
        <w:rPr>
          <w:rFonts w:ascii="Segoe UI" w:eastAsia="Segoe UI" w:hAnsi="Segoe UI" w:cs="Segoe UI"/>
          <w:color w:val="333333"/>
          <w:sz w:val="18"/>
          <w:szCs w:val="18"/>
          <w:lang w:val="en-US"/>
        </w:rPr>
        <w:t xml:space="preserve"> </w:t>
      </w:r>
    </w:p>
    <w:p w14:paraId="1FE68973" w14:textId="345EFE1E" w:rsidR="4A4000CB" w:rsidRDefault="4A4000CB" w:rsidP="4A4000CB">
      <w:pPr>
        <w:rPr>
          <w:lang w:val="en-US"/>
        </w:rPr>
      </w:pPr>
    </w:p>
    <w:p w14:paraId="21CC4B42" w14:textId="2AA7BD95" w:rsidR="00E51676" w:rsidRDefault="00E51676" w:rsidP="004F3D46">
      <w:pPr>
        <w:rPr>
          <w:b/>
          <w:bCs/>
          <w:lang w:val="en-US"/>
        </w:rPr>
      </w:pPr>
    </w:p>
    <w:p w14:paraId="056A299B" w14:textId="08990290" w:rsidR="004F3D46" w:rsidRPr="004F3D46" w:rsidRDefault="004F3D46" w:rsidP="004F3D46">
      <w:pPr>
        <w:rPr>
          <w:lang w:val="en-US"/>
        </w:rPr>
      </w:pPr>
      <w:r w:rsidRPr="4A4000CB">
        <w:rPr>
          <w:b/>
          <w:bCs/>
          <w:lang w:val="en-US"/>
        </w:rPr>
        <w:t>Milan (Italy)</w:t>
      </w:r>
      <w:r w:rsidR="009179D6" w:rsidRPr="4A4000CB">
        <w:rPr>
          <w:b/>
          <w:bCs/>
          <w:lang w:val="en-US"/>
        </w:rPr>
        <w:t xml:space="preserve">, </w:t>
      </w:r>
      <w:r w:rsidRPr="4A4000CB">
        <w:rPr>
          <w:b/>
          <w:bCs/>
          <w:lang w:val="en-US"/>
        </w:rPr>
        <w:t>1</w:t>
      </w:r>
      <w:r w:rsidR="4B33D68B" w:rsidRPr="4A4000CB">
        <w:rPr>
          <w:b/>
          <w:bCs/>
          <w:lang w:val="en-US"/>
        </w:rPr>
        <w:t>7</w:t>
      </w:r>
      <w:r w:rsidRPr="4A4000CB">
        <w:rPr>
          <w:b/>
          <w:bCs/>
          <w:lang w:val="en-US"/>
        </w:rPr>
        <w:t xml:space="preserve"> July 2025 -</w:t>
      </w:r>
      <w:r w:rsidRPr="4A4000CB">
        <w:rPr>
          <w:lang w:val="en-US"/>
        </w:rPr>
        <w:t xml:space="preserve"> Dedalus is a leading Global Health Software (HealthTech) Company and one of the world's largest companies in Digital Health. It offers </w:t>
      </w:r>
      <w:proofErr w:type="gramStart"/>
      <w:r w:rsidRPr="4A4000CB">
        <w:rPr>
          <w:lang w:val="en-US"/>
        </w:rPr>
        <w:t>open standards</w:t>
      </w:r>
      <w:proofErr w:type="gramEnd"/>
      <w:r w:rsidR="003B7321" w:rsidRPr="4A4000CB">
        <w:rPr>
          <w:lang w:val="en-US"/>
        </w:rPr>
        <w:t>-</w:t>
      </w:r>
      <w:r w:rsidRPr="4A4000CB">
        <w:rPr>
          <w:lang w:val="en-US"/>
        </w:rPr>
        <w:t>based solutions across the whole continuum of care.</w:t>
      </w:r>
    </w:p>
    <w:p w14:paraId="18F99487" w14:textId="321C17DF" w:rsidR="004F3D46" w:rsidRPr="004F3D46" w:rsidRDefault="7F4BAB6E" w:rsidP="004F3D46">
      <w:pPr>
        <w:rPr>
          <w:lang w:val="en-US"/>
        </w:rPr>
      </w:pPr>
      <w:r w:rsidRPr="63E82FA8">
        <w:rPr>
          <w:rFonts w:eastAsia="Montserrat Light" w:cs="Montserrat Light"/>
          <w:lang w:val="en-US"/>
        </w:rPr>
        <w:t xml:space="preserve"> </w:t>
      </w:r>
      <w:r w:rsidRPr="006F5AC2">
        <w:rPr>
          <w:lang w:val="en-US"/>
        </w:rPr>
        <w:br/>
      </w:r>
      <w:r w:rsidR="10FF88F1" w:rsidRPr="63E82FA8">
        <w:rPr>
          <w:rFonts w:eastAsia="Montserrat Light" w:cs="Montserrat Light"/>
          <w:lang w:val="en-US"/>
        </w:rPr>
        <w:t>According to the newly published</w:t>
      </w:r>
      <w:r w:rsidR="53D7EA2B" w:rsidRPr="63E82FA8">
        <w:rPr>
          <w:rFonts w:eastAsia="Montserrat Light" w:cs="Montserrat Light"/>
          <w:lang w:val="en-US"/>
        </w:rPr>
        <w:t xml:space="preserve"> </w:t>
      </w:r>
      <w:r w:rsidR="53D7EA2B">
        <w:fldChar w:fldCharType="begin"/>
      </w:r>
      <w:r w:rsidR="53D7EA2B" w:rsidRPr="002716AB">
        <w:rPr>
          <w:lang w:val="en-AU"/>
        </w:rPr>
        <w:instrText>HYPERLINK "https://klasresearch.com/report/global-acute-care-ehr-market-share-2025-large-regional-decisions-impact-a-broad-number-of-hospitals/3725" \h</w:instrText>
      </w:r>
      <w:r w:rsidR="53D7EA2B">
        <w:fldChar w:fldCharType="separate"/>
      </w:r>
      <w:r w:rsidR="53D7EA2B" w:rsidRPr="63E82FA8">
        <w:rPr>
          <w:rStyle w:val="Hyperlink"/>
          <w:lang w:val="en-US"/>
        </w:rPr>
        <w:t>Global Acute Care EHR Market Share 2025</w:t>
      </w:r>
      <w:r w:rsidR="53D7EA2B">
        <w:fldChar w:fldCharType="end"/>
      </w:r>
      <w:r w:rsidR="53D7EA2B" w:rsidRPr="63E82FA8">
        <w:rPr>
          <w:lang w:val="en-US"/>
        </w:rPr>
        <w:t xml:space="preserve"> by</w:t>
      </w:r>
      <w:r w:rsidR="10FF88F1" w:rsidRPr="63E82FA8">
        <w:rPr>
          <w:rFonts w:eastAsia="Montserrat Light" w:cs="Montserrat Light"/>
          <w:lang w:val="en-US"/>
        </w:rPr>
        <w:t xml:space="preserve"> KLAS Research,</w:t>
      </w:r>
      <w:r w:rsidR="10FF88F1" w:rsidRPr="00FA04C2">
        <w:rPr>
          <w:lang w:val="en-US"/>
        </w:rPr>
        <w:t xml:space="preserve"> </w:t>
      </w:r>
      <w:r w:rsidRPr="63E82FA8">
        <w:rPr>
          <w:rFonts w:eastAsia="Montserrat Light" w:cs="Montserrat Light"/>
          <w:lang w:val="en-US"/>
        </w:rPr>
        <w:t xml:space="preserve">Dedalus </w:t>
      </w:r>
      <w:r w:rsidR="00D83EC7" w:rsidRPr="00D83EC7">
        <w:rPr>
          <w:rFonts w:eastAsia="Montserrat Light" w:cs="Montserrat Light"/>
          <w:lang w:val="en-US"/>
        </w:rPr>
        <w:t>continued its strong momentum in 2024, marking its second-best year in the past five. A total of 24 organizations across 8 countries in Europe and Latin America selected Dedalus solutions, contributing to the highest number of newly contracted beds for the third consecutive year. This performance also positioned Dedalus among the global leaders in inpatient hospital activity, including outside and within the United States.</w:t>
      </w:r>
      <w:r w:rsidR="004F3D46" w:rsidRPr="63E82FA8">
        <w:rPr>
          <w:rFonts w:eastAsia="Montserrat Light" w:cs="Montserrat Light"/>
          <w:lang w:val="en-US"/>
        </w:rPr>
        <w:t xml:space="preserve"> </w:t>
      </w:r>
      <w:r w:rsidR="000777B6" w:rsidRPr="000777B6">
        <w:rPr>
          <w:rFonts w:eastAsia="Montserrat Light" w:cs="Montserrat Light"/>
          <w:lang w:val="en-US"/>
        </w:rPr>
        <w:t>According to KLAS data, Dedalus now serves 1,848 inpatient hospitals globally</w:t>
      </w:r>
      <w:r w:rsidR="000777B6">
        <w:rPr>
          <w:rFonts w:eastAsia="Montserrat Light" w:cs="Montserrat Light"/>
          <w:lang w:val="en-US"/>
        </w:rPr>
        <w:t xml:space="preserve">, </w:t>
      </w:r>
      <w:r w:rsidR="005E1B6B">
        <w:rPr>
          <w:rFonts w:eastAsia="Montserrat Light" w:cs="Montserrat Light"/>
          <w:lang w:val="en-US"/>
        </w:rPr>
        <w:t>whi</w:t>
      </w:r>
      <w:r w:rsidR="00390937">
        <w:rPr>
          <w:rFonts w:eastAsia="Montserrat Light" w:cs="Montserrat Light"/>
          <w:lang w:val="en-US"/>
        </w:rPr>
        <w:t>ch are</w:t>
      </w:r>
      <w:r w:rsidR="000777B6" w:rsidRPr="000777B6">
        <w:rPr>
          <w:rFonts w:eastAsia="Montserrat Light" w:cs="Montserrat Light"/>
          <w:lang w:val="en-US"/>
        </w:rPr>
        <w:t xml:space="preserve"> located outside the United States. This places Dedalus as the third-largest EHR vendor worldwide in terms of total inpatient hospital presence, highlighting the company’s expanding international footprint and competitive strength in a highly consolidated market.</w:t>
      </w:r>
      <w:r w:rsidR="004F3D46" w:rsidRPr="63E82FA8">
        <w:rPr>
          <w:lang w:val="en-US"/>
        </w:rPr>
        <w:t xml:space="preserve"> </w:t>
      </w:r>
    </w:p>
    <w:p w14:paraId="07F67BDE" w14:textId="77777777" w:rsidR="008B1E69" w:rsidRPr="004F3D46" w:rsidRDefault="008B1E69" w:rsidP="004F3D46">
      <w:pPr>
        <w:rPr>
          <w:lang w:val="en-US"/>
        </w:rPr>
      </w:pPr>
    </w:p>
    <w:p w14:paraId="5CE831B5" w14:textId="2C483142" w:rsidR="004A49FA" w:rsidRPr="00D77FAA" w:rsidRDefault="00202C70" w:rsidP="00AA11EA">
      <w:pPr>
        <w:rPr>
          <w:lang w:val="en-US"/>
        </w:rPr>
      </w:pPr>
      <w:r>
        <w:rPr>
          <w:lang w:val="en-US"/>
        </w:rPr>
        <w:t>S</w:t>
      </w:r>
      <w:r w:rsidR="00D77FAA" w:rsidRPr="00D77FAA">
        <w:rPr>
          <w:lang w:val="en-US"/>
        </w:rPr>
        <w:t>ecuring nearly twice as many newly contracted beds as the next-highest competitor</w:t>
      </w:r>
      <w:r>
        <w:rPr>
          <w:lang w:val="en-US"/>
        </w:rPr>
        <w:t xml:space="preserve">, </w:t>
      </w:r>
      <w:r w:rsidRPr="00D77FAA">
        <w:rPr>
          <w:lang w:val="en-US"/>
        </w:rPr>
        <w:t>Dedalus had the strongest year of any EHR vendor in 2024</w:t>
      </w:r>
      <w:r w:rsidR="00D77FAA" w:rsidRPr="00D77FAA">
        <w:rPr>
          <w:lang w:val="en-US"/>
        </w:rPr>
        <w:t xml:space="preserve">. This exceptional growth reflects the trust placed in Dedalus by healthcare organizations across Europe and Latin </w:t>
      </w:r>
      <w:proofErr w:type="gramStart"/>
      <w:r w:rsidR="00D77FAA" w:rsidRPr="00D77FAA">
        <w:rPr>
          <w:lang w:val="en-US"/>
        </w:rPr>
        <w:t>America, and</w:t>
      </w:r>
      <w:proofErr w:type="gramEnd"/>
      <w:r w:rsidR="00D77FAA" w:rsidRPr="00D77FAA">
        <w:rPr>
          <w:lang w:val="en-US"/>
        </w:rPr>
        <w:t xml:space="preserve"> underscores the scalability and adaptability of its EHR platforms</w:t>
      </w:r>
      <w:r w:rsidR="00E03086">
        <w:rPr>
          <w:lang w:val="en-US"/>
        </w:rPr>
        <w:t>.</w:t>
      </w:r>
    </w:p>
    <w:p w14:paraId="2A32C553" w14:textId="77777777" w:rsidR="00AA11EA" w:rsidRPr="00D77FAA" w:rsidRDefault="00AA11EA" w:rsidP="00AA11EA">
      <w:pPr>
        <w:rPr>
          <w:lang w:val="en-US"/>
        </w:rPr>
      </w:pPr>
    </w:p>
    <w:p w14:paraId="4024AD28" w14:textId="78ACBE51" w:rsidR="009179D6" w:rsidRDefault="00E022AA" w:rsidP="004F3D46">
      <w:pPr>
        <w:rPr>
          <w:lang w:val="en-US"/>
        </w:rPr>
      </w:pPr>
      <w:r w:rsidRPr="00E022AA">
        <w:rPr>
          <w:lang w:val="en-US"/>
        </w:rPr>
        <w:t>“</w:t>
      </w:r>
      <w:r w:rsidR="008B1E69">
        <w:rPr>
          <w:lang w:val="en-US"/>
        </w:rPr>
        <w:t>2024 has been</w:t>
      </w:r>
      <w:r w:rsidRPr="00E022AA">
        <w:rPr>
          <w:lang w:val="en-US"/>
        </w:rPr>
        <w:t xml:space="preserve"> a landmark year for</w:t>
      </w:r>
      <w:r w:rsidR="008B1E69">
        <w:rPr>
          <w:lang w:val="en-US"/>
        </w:rPr>
        <w:t xml:space="preserve"> us at</w:t>
      </w:r>
      <w:r w:rsidRPr="00E022AA">
        <w:rPr>
          <w:lang w:val="en-US"/>
        </w:rPr>
        <w:t xml:space="preserve"> Dedalus. We’re proud to </w:t>
      </w:r>
      <w:r w:rsidR="008B1E69">
        <w:rPr>
          <w:lang w:val="en-US"/>
        </w:rPr>
        <w:t>lea</w:t>
      </w:r>
      <w:r w:rsidRPr="00E022AA">
        <w:rPr>
          <w:lang w:val="en-US"/>
        </w:rPr>
        <w:t>d the market in EHR adoption, with nearly twice as many newly contracted beds as any other vendor. Our growth across eight countries</w:t>
      </w:r>
      <w:r w:rsidR="005240FD">
        <w:rPr>
          <w:lang w:val="en-US"/>
        </w:rPr>
        <w:t xml:space="preserve"> </w:t>
      </w:r>
      <w:r w:rsidRPr="00E022AA">
        <w:rPr>
          <w:lang w:val="en-US"/>
        </w:rPr>
        <w:t xml:space="preserve">reflects the </w:t>
      </w:r>
      <w:proofErr w:type="gramStart"/>
      <w:r w:rsidRPr="00E022AA">
        <w:rPr>
          <w:lang w:val="en-US"/>
        </w:rPr>
        <w:t>trust</w:t>
      </w:r>
      <w:proofErr w:type="gramEnd"/>
      <w:r w:rsidRPr="00E022AA">
        <w:rPr>
          <w:lang w:val="en-US"/>
        </w:rPr>
        <w:t xml:space="preserve"> healthcare organizations </w:t>
      </w:r>
      <w:r w:rsidR="005240FD">
        <w:rPr>
          <w:lang w:val="en-US"/>
        </w:rPr>
        <w:t xml:space="preserve">across the globe </w:t>
      </w:r>
      <w:r w:rsidRPr="00E022AA">
        <w:rPr>
          <w:lang w:val="en-US"/>
        </w:rPr>
        <w:t xml:space="preserve">place in our solutions. </w:t>
      </w:r>
      <w:r>
        <w:rPr>
          <w:lang w:val="en-US"/>
        </w:rPr>
        <w:t>P</w:t>
      </w:r>
      <w:r w:rsidRPr="00E022AA">
        <w:rPr>
          <w:lang w:val="en-US"/>
        </w:rPr>
        <w:t>articularly</w:t>
      </w:r>
      <w:r w:rsidR="008B1E69">
        <w:rPr>
          <w:lang w:val="en-US"/>
        </w:rPr>
        <w:t xml:space="preserve"> </w:t>
      </w:r>
      <w:r w:rsidRPr="00E022AA">
        <w:rPr>
          <w:lang w:val="en-US"/>
        </w:rPr>
        <w:t>in the DACH region and France</w:t>
      </w:r>
      <w:r w:rsidR="008B1E69">
        <w:rPr>
          <w:lang w:val="en-US"/>
        </w:rPr>
        <w:t>, we had strong momentum</w:t>
      </w:r>
      <w:r w:rsidRPr="00E022AA">
        <w:rPr>
          <w:lang w:val="en-US"/>
        </w:rPr>
        <w:t xml:space="preserve"> </w:t>
      </w:r>
      <w:r w:rsidR="008B1E69">
        <w:rPr>
          <w:lang w:val="en-US"/>
        </w:rPr>
        <w:t xml:space="preserve">and </w:t>
      </w:r>
      <w:r w:rsidRPr="00E022AA">
        <w:rPr>
          <w:lang w:val="en-US"/>
        </w:rPr>
        <w:t>multiple</w:t>
      </w:r>
      <w:r>
        <w:rPr>
          <w:lang w:val="en-US"/>
        </w:rPr>
        <w:t xml:space="preserve"> </w:t>
      </w:r>
      <w:r w:rsidRPr="00E022AA">
        <w:rPr>
          <w:lang w:val="en-US"/>
        </w:rPr>
        <w:t xml:space="preserve">regional health </w:t>
      </w:r>
      <w:r>
        <w:rPr>
          <w:lang w:val="en-US"/>
        </w:rPr>
        <w:t>organizations</w:t>
      </w:r>
      <w:r w:rsidRPr="00E022AA">
        <w:rPr>
          <w:lang w:val="en-US"/>
        </w:rPr>
        <w:t xml:space="preserve"> chose to move forward with our Care4U/ORBIS platform. </w:t>
      </w:r>
      <w:r w:rsidR="008B1E69">
        <w:rPr>
          <w:lang w:val="en-US"/>
        </w:rPr>
        <w:t>And we are particularly</w:t>
      </w:r>
      <w:r w:rsidRPr="00E022AA">
        <w:rPr>
          <w:lang w:val="en-US"/>
        </w:rPr>
        <w:t xml:space="preserve"> excited to welcome our first ORBIS U </w:t>
      </w:r>
      <w:r w:rsidRPr="00E022AA">
        <w:rPr>
          <w:lang w:val="en-US"/>
        </w:rPr>
        <w:lastRenderedPageBreak/>
        <w:t>customers in the UK</w:t>
      </w:r>
      <w:r>
        <w:rPr>
          <w:lang w:val="en-US"/>
        </w:rPr>
        <w:t xml:space="preserve">, </w:t>
      </w:r>
      <w:r w:rsidRPr="00E022AA">
        <w:rPr>
          <w:lang w:val="en-US"/>
        </w:rPr>
        <w:t xml:space="preserve">marking a significant milestone as we expand into English-speaking markets,” said </w:t>
      </w:r>
      <w:r>
        <w:rPr>
          <w:lang w:val="en-US"/>
        </w:rPr>
        <w:t>Alberto Calcagno</w:t>
      </w:r>
      <w:r w:rsidRPr="00E022AA">
        <w:rPr>
          <w:lang w:val="en-US"/>
        </w:rPr>
        <w:t>, CEO of Dedalus</w:t>
      </w:r>
      <w:r>
        <w:rPr>
          <w:lang w:val="en-US"/>
        </w:rPr>
        <w:t xml:space="preserve"> Group</w:t>
      </w:r>
      <w:r w:rsidRPr="00E022AA">
        <w:rPr>
          <w:lang w:val="en-US"/>
        </w:rPr>
        <w:t>.</w:t>
      </w:r>
    </w:p>
    <w:p w14:paraId="79F70EC7" w14:textId="77777777" w:rsidR="00E022AA" w:rsidRPr="00E022AA" w:rsidRDefault="00E022AA" w:rsidP="004F3D46">
      <w:pPr>
        <w:rPr>
          <w:b/>
          <w:bCs/>
          <w:lang w:val="en-US"/>
        </w:rPr>
      </w:pPr>
    </w:p>
    <w:p w14:paraId="555CA90B" w14:textId="3A14844F" w:rsidR="004F3D46" w:rsidRPr="004D12DD" w:rsidRDefault="004F3D46" w:rsidP="004F3D46">
      <w:pPr>
        <w:rPr>
          <w:b/>
          <w:bCs/>
          <w:color w:val="1F497D" w:themeColor="text2"/>
          <w:lang w:val="en-US"/>
        </w:rPr>
      </w:pPr>
      <w:r w:rsidRPr="004D12DD">
        <w:rPr>
          <w:b/>
          <w:bCs/>
          <w:color w:val="1F497D" w:themeColor="text2"/>
          <w:lang w:val="en-US"/>
        </w:rPr>
        <w:t>ABOUT DEDALUS</w:t>
      </w:r>
    </w:p>
    <w:p w14:paraId="57FB0478" w14:textId="3F96F747" w:rsidR="004D12DD" w:rsidRDefault="007C2A63" w:rsidP="004F3D46">
      <w:pPr>
        <w:rPr>
          <w:lang w:val="en-US"/>
        </w:rPr>
      </w:pPr>
      <w:r w:rsidRPr="007C2A63">
        <w:rPr>
          <w:lang w:val="en-US"/>
        </w:rPr>
        <w:t xml:space="preserve">Dedalus Group is the leading healthcare and diagnostic software provider in Europe, supporting globally the digital transformation of 7500 Healthcare </w:t>
      </w:r>
      <w:proofErr w:type="spellStart"/>
      <w:r w:rsidRPr="007C2A63">
        <w:rPr>
          <w:lang w:val="en-US"/>
        </w:rPr>
        <w:t>Organisations</w:t>
      </w:r>
      <w:proofErr w:type="spellEnd"/>
      <w:r w:rsidRPr="007C2A63">
        <w:rPr>
          <w:lang w:val="en-US"/>
        </w:rPr>
        <w:t xml:space="preserve"> and 5700 Labs and Diagnostic </w:t>
      </w:r>
      <w:proofErr w:type="spellStart"/>
      <w:r w:rsidRPr="007C2A63">
        <w:rPr>
          <w:lang w:val="en-US"/>
        </w:rPr>
        <w:t>centres</w:t>
      </w:r>
      <w:proofErr w:type="spellEnd"/>
      <w:r w:rsidRPr="007C2A63">
        <w:rPr>
          <w:lang w:val="en-US"/>
        </w:rPr>
        <w:t xml:space="preserve"> worldwide, processing its solutions for more than 540 </w:t>
      </w:r>
      <w:proofErr w:type="gramStart"/>
      <w:r w:rsidRPr="007C2A63">
        <w:rPr>
          <w:lang w:val="en-US"/>
        </w:rPr>
        <w:t>million of population</w:t>
      </w:r>
      <w:proofErr w:type="gramEnd"/>
      <w:r w:rsidRPr="007C2A63">
        <w:rPr>
          <w:lang w:val="en-US"/>
        </w:rPr>
        <w:t xml:space="preserve"> worldwide. Dedalus offer supports the whole continuum of care, in every step and phase, offering open standards-based solutions serving each actor of the Healthcare Ecosystem to provide better care in a healthier planet. Life Flows through our software. </w:t>
      </w:r>
    </w:p>
    <w:p w14:paraId="6A001C70" w14:textId="6809B894" w:rsidR="008B1E69" w:rsidRDefault="007C2A63" w:rsidP="004F3D46">
      <w:pPr>
        <w:rPr>
          <w:lang w:val="en-US"/>
        </w:rPr>
      </w:pPr>
      <w:r w:rsidRPr="007C2A63">
        <w:rPr>
          <w:lang w:val="en-US"/>
        </w:rPr>
        <w:t xml:space="preserve">For more information, visit </w:t>
      </w:r>
      <w:hyperlink r:id="rId11" w:history="1">
        <w:r w:rsidRPr="00C90A5F">
          <w:rPr>
            <w:rStyle w:val="Hyperlink"/>
            <w:lang w:val="en-US"/>
          </w:rPr>
          <w:t>www.dedalus.com</w:t>
        </w:r>
      </w:hyperlink>
    </w:p>
    <w:p w14:paraId="7A1CC4E8" w14:textId="77777777" w:rsidR="007C2A63" w:rsidRPr="007C2A63" w:rsidRDefault="007C2A63" w:rsidP="004F3D46">
      <w:pPr>
        <w:rPr>
          <w:b/>
          <w:bCs/>
          <w:lang w:val="en-US"/>
        </w:rPr>
      </w:pPr>
    </w:p>
    <w:p w14:paraId="3DF64064" w14:textId="17546FF1" w:rsidR="00FB1EA1" w:rsidRPr="004D12DD" w:rsidRDefault="004F3D46" w:rsidP="00FB1EA1">
      <w:pPr>
        <w:rPr>
          <w:b/>
          <w:bCs/>
          <w:color w:val="1F497D" w:themeColor="text2"/>
          <w:lang w:val="en-US"/>
        </w:rPr>
      </w:pPr>
      <w:r w:rsidRPr="004D12DD">
        <w:rPr>
          <w:b/>
          <w:bCs/>
          <w:color w:val="1F497D" w:themeColor="text2"/>
          <w:lang w:val="en-US"/>
        </w:rPr>
        <w:t>ABOUT KLAS Researc</w:t>
      </w:r>
      <w:r w:rsidR="00FB1EA1" w:rsidRPr="004D12DD">
        <w:rPr>
          <w:b/>
          <w:bCs/>
          <w:color w:val="1F497D" w:themeColor="text2"/>
          <w:lang w:val="en-US"/>
        </w:rPr>
        <w:t>h</w:t>
      </w:r>
    </w:p>
    <w:p w14:paraId="2B1118B7" w14:textId="77777777" w:rsidR="00FB1EA1" w:rsidRPr="00FB1EA1" w:rsidRDefault="00FB1EA1" w:rsidP="00FB1EA1">
      <w:pPr>
        <w:rPr>
          <w:lang w:val="en-US"/>
        </w:rPr>
      </w:pPr>
      <w:r w:rsidRPr="00FB1EA1">
        <w:rPr>
          <w:lang w:val="en-US"/>
        </w:rPr>
        <w:t xml:space="preserve">KLAS helps healthcare providers make informed </w:t>
      </w:r>
      <w:proofErr w:type="gramStart"/>
      <w:r w:rsidRPr="00FB1EA1">
        <w:rPr>
          <w:lang w:val="en-US"/>
        </w:rPr>
        <w:t>technology</w:t>
      </w:r>
      <w:proofErr w:type="gramEnd"/>
      <w:r w:rsidRPr="00FB1EA1">
        <w:rPr>
          <w:lang w:val="en-US"/>
        </w:rPr>
        <w:t xml:space="preserve"> decisions by offering accurate, honest, and impartial vendor performance information. KLAS monitors vendor performance through interviewing thousands of healthcare providers representing healthcare organizations throughout the US and here and there across the globe. KLAS uses a simple methodology to ensure all data and ratings are accurate, honest and impartial to help create market moving moments. Learn more at </w:t>
      </w:r>
      <w:hyperlink r:id="rId12" w:tooltip="http://www.klasresearch.com/" w:history="1">
        <w:r w:rsidRPr="00FB1EA1">
          <w:rPr>
            <w:rStyle w:val="Hyperlink"/>
            <w:lang w:val="en-US"/>
          </w:rPr>
          <w:t>klasresearch.com</w:t>
        </w:r>
      </w:hyperlink>
      <w:r w:rsidRPr="00FB1EA1">
        <w:rPr>
          <w:lang w:val="en-US"/>
        </w:rPr>
        <w:t>. </w:t>
      </w:r>
    </w:p>
    <w:p w14:paraId="49EDFCE5" w14:textId="77777777" w:rsidR="00FB1EA1" w:rsidRDefault="00FB1EA1" w:rsidP="00FB1EA1">
      <w:pPr>
        <w:rPr>
          <w:lang w:val="en-US"/>
        </w:rPr>
      </w:pPr>
      <w:r w:rsidRPr="00FB1EA1">
        <w:rPr>
          <w:lang w:val="en-US"/>
        </w:rPr>
        <w:t> </w:t>
      </w:r>
    </w:p>
    <w:p w14:paraId="6D041725" w14:textId="77777777" w:rsidR="003569DC" w:rsidRDefault="00EE4DC0" w:rsidP="00EE4DC0">
      <w:pPr>
        <w:jc w:val="left"/>
        <w:rPr>
          <w:b/>
          <w:bCs/>
          <w:lang w:val="en-US"/>
        </w:rPr>
      </w:pPr>
      <w:r w:rsidRPr="003569DC">
        <w:rPr>
          <w:b/>
          <w:bCs/>
          <w:color w:val="1F497D" w:themeColor="text2"/>
          <w:lang w:val="en-US"/>
        </w:rPr>
        <w:t>Dedalus SPA Press Contact:</w:t>
      </w:r>
      <w:r w:rsidRPr="003569DC">
        <w:rPr>
          <w:color w:val="1F497D" w:themeColor="text2"/>
          <w:lang w:val="en-US"/>
        </w:rPr>
        <w:t xml:space="preserve"> </w:t>
      </w:r>
      <w:r>
        <w:rPr>
          <w:lang w:val="en-US"/>
        </w:rPr>
        <w:br/>
      </w:r>
    </w:p>
    <w:p w14:paraId="31D67B9C" w14:textId="52DFC136" w:rsidR="00EE4DC0" w:rsidRDefault="00EE4DC0" w:rsidP="00EE4DC0">
      <w:pPr>
        <w:jc w:val="left"/>
        <w:rPr>
          <w:lang w:val="en-US"/>
        </w:rPr>
      </w:pPr>
      <w:r w:rsidRPr="00EE4DC0">
        <w:rPr>
          <w:b/>
          <w:bCs/>
          <w:lang w:val="en-US"/>
        </w:rPr>
        <w:t>Sara Luisa Mintrone</w:t>
      </w:r>
    </w:p>
    <w:p w14:paraId="272A11F6" w14:textId="5E10212A" w:rsidR="00EE4DC0" w:rsidRDefault="00EE4DC0" w:rsidP="00EE4DC0">
      <w:pPr>
        <w:jc w:val="left"/>
        <w:rPr>
          <w:lang w:val="en-US"/>
        </w:rPr>
      </w:pPr>
      <w:r>
        <w:rPr>
          <w:lang w:val="en-US"/>
        </w:rPr>
        <w:t>P</w:t>
      </w:r>
      <w:r w:rsidRPr="00EE4DC0">
        <w:rPr>
          <w:lang w:val="en-US"/>
        </w:rPr>
        <w:t xml:space="preserve">hone number +39 348 2818185 </w:t>
      </w:r>
      <w:r>
        <w:rPr>
          <w:lang w:val="en-US"/>
        </w:rPr>
        <w:br/>
        <w:t xml:space="preserve">e-mail </w:t>
      </w:r>
      <w:r w:rsidRPr="00EE4DC0">
        <w:rPr>
          <w:lang w:val="en-US"/>
        </w:rPr>
        <w:t>sara.mintrone@</w:t>
      </w:r>
      <w:r>
        <w:rPr>
          <w:lang w:val="en-US"/>
        </w:rPr>
        <w:t>d</w:t>
      </w:r>
      <w:r w:rsidRPr="00EE4DC0">
        <w:rPr>
          <w:lang w:val="en-US"/>
        </w:rPr>
        <w:t>edalus.</w:t>
      </w:r>
      <w:r>
        <w:rPr>
          <w:lang w:val="en-US"/>
        </w:rPr>
        <w:t>com</w:t>
      </w:r>
      <w:r w:rsidRPr="00EE4DC0">
        <w:rPr>
          <w:lang w:val="en-US"/>
        </w:rPr>
        <w:t xml:space="preserve"> </w:t>
      </w:r>
    </w:p>
    <w:p w14:paraId="43988061" w14:textId="77777777" w:rsidR="00EE4DC0" w:rsidRDefault="00EE4DC0" w:rsidP="00EE4DC0">
      <w:pPr>
        <w:jc w:val="left"/>
        <w:rPr>
          <w:lang w:val="en-US"/>
        </w:rPr>
      </w:pPr>
    </w:p>
    <w:p w14:paraId="45B0DC13" w14:textId="254783D0" w:rsidR="000D1C8A" w:rsidRPr="00EE4DC0" w:rsidRDefault="00EE4DC0" w:rsidP="00EE4DC0">
      <w:pPr>
        <w:jc w:val="left"/>
        <w:rPr>
          <w:lang w:val="en-US"/>
        </w:rPr>
      </w:pPr>
      <w:r w:rsidRPr="00EE4DC0">
        <w:rPr>
          <w:b/>
          <w:bCs/>
          <w:lang w:val="en-US"/>
        </w:rPr>
        <w:t>For further information:</w:t>
      </w:r>
      <w:r w:rsidRPr="00EE4DC0">
        <w:rPr>
          <w:lang w:val="en-US"/>
        </w:rPr>
        <w:t xml:space="preserve"> </w:t>
      </w:r>
      <w:r>
        <w:rPr>
          <w:lang w:val="en-US"/>
        </w:rPr>
        <w:br/>
      </w:r>
      <w:r w:rsidRPr="00EE4DC0">
        <w:rPr>
          <w:lang w:val="en-US"/>
        </w:rPr>
        <w:t>www.</w:t>
      </w:r>
      <w:r>
        <w:rPr>
          <w:lang w:val="en-US"/>
        </w:rPr>
        <w:t>d</w:t>
      </w:r>
      <w:r w:rsidRPr="00EE4DC0">
        <w:rPr>
          <w:lang w:val="en-US"/>
        </w:rPr>
        <w:t>edalus.com LinkedIn: Dedalus Grou</w:t>
      </w:r>
      <w:r>
        <w:rPr>
          <w:lang w:val="en-US"/>
        </w:rPr>
        <w:t>p</w:t>
      </w:r>
    </w:p>
    <w:sectPr w:rsidR="000D1C8A" w:rsidRPr="00EE4DC0" w:rsidSect="00B8510D">
      <w:headerReference w:type="default" r:id="rId13"/>
      <w:footerReference w:type="even" r:id="rId14"/>
      <w:footerReference w:type="default" r:id="rId15"/>
      <w:headerReference w:type="first" r:id="rId16"/>
      <w:footerReference w:type="first" r:id="rId17"/>
      <w:pgSz w:w="11900" w:h="16840"/>
      <w:pgMar w:top="2127" w:right="1134" w:bottom="2552" w:left="1701" w:header="318" w:footer="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75119" w14:textId="77777777" w:rsidR="005C0B88" w:rsidRDefault="005C0B88" w:rsidP="0013507B">
      <w:r>
        <w:separator/>
      </w:r>
    </w:p>
  </w:endnote>
  <w:endnote w:type="continuationSeparator" w:id="0">
    <w:p w14:paraId="69ABC747" w14:textId="77777777" w:rsidR="005C0B88" w:rsidRDefault="005C0B88" w:rsidP="0013507B">
      <w:r>
        <w:continuationSeparator/>
      </w:r>
    </w:p>
  </w:endnote>
  <w:endnote w:type="continuationNotice" w:id="1">
    <w:p w14:paraId="32E8D64F" w14:textId="77777777" w:rsidR="005C0B88" w:rsidRDefault="005C0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2011" w14:textId="77777777" w:rsidR="00984873" w:rsidRDefault="00984873" w:rsidP="000A36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EA9FAA1" w14:textId="77777777" w:rsidR="00984873" w:rsidRDefault="00984873" w:rsidP="00CB64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AA1" w14:textId="358638ED" w:rsidR="00984873" w:rsidRPr="000A3612" w:rsidRDefault="007F1EE9" w:rsidP="00251F2D">
    <w:pPr>
      <w:pStyle w:val="Footer"/>
      <w:tabs>
        <w:tab w:val="clear" w:pos="9638"/>
        <w:tab w:val="right" w:pos="9072"/>
      </w:tabs>
      <w:ind w:right="-7"/>
      <w:rPr>
        <w:rFonts w:cs="Arial"/>
        <w:sz w:val="10"/>
        <w:szCs w:val="16"/>
      </w:rPr>
    </w:pPr>
    <w:r>
      <w:rPr>
        <w:rFonts w:cs="Arial"/>
        <w:noProof/>
        <w:sz w:val="10"/>
        <w:szCs w:val="16"/>
      </w:rPr>
      <w:drawing>
        <wp:anchor distT="0" distB="0" distL="114300" distR="114300" simplePos="0" relativeHeight="251658242" behindDoc="0" locked="0" layoutInCell="1" allowOverlap="1" wp14:anchorId="0EA5BA42" wp14:editId="1B332042">
          <wp:simplePos x="0" y="0"/>
          <wp:positionH relativeFrom="margin">
            <wp:align>left</wp:align>
          </wp:positionH>
          <wp:positionV relativeFrom="paragraph">
            <wp:posOffset>27417</wp:posOffset>
          </wp:positionV>
          <wp:extent cx="5753100" cy="488315"/>
          <wp:effectExtent l="0" t="0" r="0" b="698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88315"/>
                  </a:xfrm>
                  <a:prstGeom prst="rect">
                    <a:avLst/>
                  </a:prstGeom>
                  <a:noFill/>
                </pic:spPr>
              </pic:pic>
            </a:graphicData>
          </a:graphic>
          <wp14:sizeRelH relativeFrom="margin">
            <wp14:pctWidth>0</wp14:pctWidth>
          </wp14:sizeRelH>
          <wp14:sizeRelV relativeFrom="margin">
            <wp14:pctHeight>0</wp14:pctHeight>
          </wp14:sizeRelV>
        </wp:anchor>
      </w:drawing>
    </w:r>
  </w:p>
  <w:sdt>
    <w:sdtPr>
      <w:rPr>
        <w:rStyle w:val="PageNumber"/>
      </w:rPr>
      <w:id w:val="-1302923268"/>
      <w:docPartObj>
        <w:docPartGallery w:val="Page Numbers (Bottom of Page)"/>
        <w:docPartUnique/>
      </w:docPartObj>
    </w:sdtPr>
    <w:sdtEndPr>
      <w:rPr>
        <w:rStyle w:val="PageNumber"/>
        <w:sz w:val="20"/>
        <w:szCs w:val="20"/>
      </w:rPr>
    </w:sdtEndPr>
    <w:sdtContent>
      <w:p w14:paraId="242EDADC" w14:textId="77777777" w:rsidR="00A132C6" w:rsidRPr="000A3612" w:rsidRDefault="00A132C6" w:rsidP="00A132C6">
        <w:pPr>
          <w:pStyle w:val="Footer"/>
          <w:framePr w:wrap="none" w:vAnchor="text" w:hAnchor="page" w:x="10411" w:y="73"/>
          <w:rPr>
            <w:rStyle w:val="PageNumber"/>
            <w:sz w:val="20"/>
            <w:szCs w:val="20"/>
          </w:rPr>
        </w:pPr>
        <w:r w:rsidRPr="000A3612">
          <w:rPr>
            <w:rStyle w:val="PageNumber"/>
            <w:sz w:val="20"/>
            <w:szCs w:val="20"/>
          </w:rPr>
          <w:fldChar w:fldCharType="begin"/>
        </w:r>
        <w:r w:rsidRPr="000A3612">
          <w:rPr>
            <w:rStyle w:val="PageNumber"/>
            <w:sz w:val="20"/>
            <w:szCs w:val="20"/>
          </w:rPr>
          <w:instrText xml:space="preserve"> PAGE </w:instrText>
        </w:r>
        <w:r w:rsidRPr="000A3612">
          <w:rPr>
            <w:rStyle w:val="PageNumber"/>
            <w:sz w:val="20"/>
            <w:szCs w:val="20"/>
          </w:rPr>
          <w:fldChar w:fldCharType="separate"/>
        </w:r>
        <w:r w:rsidRPr="000A3612">
          <w:rPr>
            <w:rStyle w:val="PageNumber"/>
            <w:noProof/>
            <w:sz w:val="20"/>
            <w:szCs w:val="20"/>
          </w:rPr>
          <w:t>2</w:t>
        </w:r>
        <w:r w:rsidRPr="000A3612">
          <w:rPr>
            <w:rStyle w:val="PageNumber"/>
            <w:sz w:val="20"/>
            <w:szCs w:val="20"/>
          </w:rPr>
          <w:fldChar w:fldCharType="end"/>
        </w:r>
      </w:p>
    </w:sdtContent>
  </w:sdt>
  <w:p w14:paraId="348EF3E1" w14:textId="77777777" w:rsidR="000A3612" w:rsidRDefault="000A3612" w:rsidP="00FC5BF0">
    <w:pPr>
      <w:pStyle w:val="Footer"/>
      <w:ind w:right="360"/>
      <w:rPr>
        <w:rFonts w:cs="Arial"/>
        <w:sz w:val="15"/>
        <w:szCs w:val="21"/>
      </w:rPr>
    </w:pPr>
  </w:p>
  <w:p w14:paraId="6B2EBCED" w14:textId="77777777" w:rsidR="000A3612" w:rsidRDefault="000A3612" w:rsidP="00FC5BF0">
    <w:pPr>
      <w:pStyle w:val="Footer"/>
      <w:ind w:right="360"/>
      <w:rPr>
        <w:rFonts w:cs="Arial"/>
        <w:sz w:val="15"/>
        <w:szCs w:val="21"/>
      </w:rPr>
    </w:pPr>
  </w:p>
  <w:p w14:paraId="7B12C728" w14:textId="77777777" w:rsidR="000A3612" w:rsidRDefault="000A3612" w:rsidP="00FC5BF0">
    <w:pPr>
      <w:pStyle w:val="Footer"/>
      <w:ind w:right="360"/>
      <w:rPr>
        <w:rFonts w:cs="Arial"/>
        <w:sz w:val="15"/>
        <w:szCs w:val="21"/>
      </w:rPr>
    </w:pPr>
  </w:p>
  <w:p w14:paraId="1A6F3B80" w14:textId="77777777" w:rsidR="000A3612" w:rsidRPr="007F5150" w:rsidRDefault="000A3612" w:rsidP="00FC5BF0">
    <w:pPr>
      <w:pStyle w:val="Footer"/>
      <w:ind w:right="360"/>
      <w:rPr>
        <w:rFonts w:cs="Arial"/>
        <w:sz w:val="15"/>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C7733" w14:textId="1892DF39" w:rsidR="000A3612" w:rsidRDefault="008B1E69">
    <w:pPr>
      <w:pStyle w:val="Footer"/>
    </w:pPr>
    <w:r>
      <w:rPr>
        <w:rFonts w:cs="Arial"/>
        <w:noProof/>
        <w:sz w:val="10"/>
        <w:szCs w:val="16"/>
      </w:rPr>
      <w:drawing>
        <wp:anchor distT="0" distB="0" distL="114300" distR="114300" simplePos="0" relativeHeight="251658243" behindDoc="0" locked="0" layoutInCell="1" allowOverlap="1" wp14:anchorId="558A3D23" wp14:editId="467FA40D">
          <wp:simplePos x="0" y="0"/>
          <wp:positionH relativeFrom="margin">
            <wp:align>right</wp:align>
          </wp:positionH>
          <wp:positionV relativeFrom="paragraph">
            <wp:posOffset>-822960</wp:posOffset>
          </wp:positionV>
          <wp:extent cx="5753100" cy="488315"/>
          <wp:effectExtent l="0" t="0" r="0" b="6985"/>
          <wp:wrapSquare wrapText="bothSides"/>
          <wp:docPr id="119987668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48831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D118C" w14:textId="77777777" w:rsidR="005C0B88" w:rsidRDefault="005C0B88" w:rsidP="0013507B">
      <w:r>
        <w:separator/>
      </w:r>
    </w:p>
  </w:footnote>
  <w:footnote w:type="continuationSeparator" w:id="0">
    <w:p w14:paraId="517FE175" w14:textId="77777777" w:rsidR="005C0B88" w:rsidRDefault="005C0B88" w:rsidP="0013507B">
      <w:r>
        <w:continuationSeparator/>
      </w:r>
    </w:p>
  </w:footnote>
  <w:footnote w:type="continuationNotice" w:id="1">
    <w:p w14:paraId="4059206E" w14:textId="77777777" w:rsidR="005C0B88" w:rsidRDefault="005C0B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AF22" w14:textId="77777777" w:rsidR="00397BE1" w:rsidRDefault="00397BE1" w:rsidP="00AC0832">
    <w:pPr>
      <w:pStyle w:val="Header"/>
      <w:ind w:left="-900"/>
      <w:rPr>
        <w:noProof/>
      </w:rPr>
    </w:pPr>
  </w:p>
  <w:p w14:paraId="2531668C" w14:textId="15F12EFA" w:rsidR="00984873" w:rsidRPr="00FC5BF0" w:rsidRDefault="00FC5BF0" w:rsidP="00AC0832">
    <w:pPr>
      <w:pStyle w:val="Header"/>
      <w:ind w:left="-900"/>
      <w:rPr>
        <w:rFonts w:asciiTheme="majorHAnsi" w:hAnsiTheme="majorHAnsi"/>
      </w:rPr>
    </w:pPr>
    <w:r w:rsidRPr="009D7D13">
      <w:rPr>
        <w:noProof/>
      </w:rPr>
      <w:drawing>
        <wp:anchor distT="0" distB="0" distL="114300" distR="114300" simplePos="0" relativeHeight="251658241" behindDoc="0" locked="0" layoutInCell="1" allowOverlap="1" wp14:anchorId="10B7E2FF" wp14:editId="798C18F0">
          <wp:simplePos x="0" y="0"/>
          <wp:positionH relativeFrom="column">
            <wp:posOffset>-572135</wp:posOffset>
          </wp:positionH>
          <wp:positionV relativeFrom="paragraph">
            <wp:posOffset>1270</wp:posOffset>
          </wp:positionV>
          <wp:extent cx="3238150" cy="553720"/>
          <wp:effectExtent l="0" t="0" r="0" b="0"/>
          <wp:wrapSquare wrapText="bothSides"/>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39241"/>
                  <a:stretch/>
                </pic:blipFill>
                <pic:spPr bwMode="auto">
                  <a:xfrm>
                    <a:off x="0" y="0"/>
                    <a:ext cx="3238150" cy="5537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8621" w14:textId="77777777" w:rsidR="00397BE1" w:rsidRDefault="00251F2D" w:rsidP="00AC0832">
    <w:pPr>
      <w:pStyle w:val="Header"/>
      <w:ind w:left="-720"/>
      <w:rPr>
        <w:noProof/>
      </w:rPr>
    </w:pPr>
    <w:r w:rsidRPr="009D7D13">
      <w:rPr>
        <w:noProof/>
      </w:rPr>
      <w:drawing>
        <wp:anchor distT="0" distB="0" distL="114300" distR="114300" simplePos="0" relativeHeight="251658240" behindDoc="0" locked="0" layoutInCell="1" allowOverlap="1" wp14:anchorId="6DE61088" wp14:editId="2E1535F5">
          <wp:simplePos x="0" y="0"/>
          <wp:positionH relativeFrom="column">
            <wp:posOffset>-457835</wp:posOffset>
          </wp:positionH>
          <wp:positionV relativeFrom="paragraph">
            <wp:posOffset>219075</wp:posOffset>
          </wp:positionV>
          <wp:extent cx="1811655" cy="553720"/>
          <wp:effectExtent l="0" t="0" r="0" b="0"/>
          <wp:wrapSquare wrapText="bothSides"/>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66001"/>
                  <a:stretch/>
                </pic:blipFill>
                <pic:spPr bwMode="auto">
                  <a:xfrm>
                    <a:off x="0" y="0"/>
                    <a:ext cx="1811655" cy="553720"/>
                  </a:xfrm>
                  <a:prstGeom prst="rect">
                    <a:avLst/>
                  </a:prstGeom>
                  <a:ln>
                    <a:noFill/>
                  </a:ln>
                  <a:extLst>
                    <a:ext uri="{53640926-AAD7-44D8-BBD7-CCE9431645EC}">
                      <a14:shadowObscured xmlns:a14="http://schemas.microsoft.com/office/drawing/2010/main"/>
                    </a:ext>
                  </a:extLst>
                </pic:spPr>
              </pic:pic>
            </a:graphicData>
          </a:graphic>
        </wp:anchor>
      </w:drawing>
    </w:r>
  </w:p>
  <w:p w14:paraId="5D8B6FA3" w14:textId="77777777" w:rsidR="000A3612" w:rsidRDefault="000A3612" w:rsidP="00AC0832">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5905"/>
    <w:multiLevelType w:val="hybridMultilevel"/>
    <w:tmpl w:val="DCB6EFF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6021CC4"/>
    <w:multiLevelType w:val="hybridMultilevel"/>
    <w:tmpl w:val="A7B0A164"/>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35636E"/>
    <w:multiLevelType w:val="hybridMultilevel"/>
    <w:tmpl w:val="976A2A2C"/>
    <w:lvl w:ilvl="0" w:tplc="04100001">
      <w:start w:val="1"/>
      <w:numFmt w:val="bullet"/>
      <w:lvlText w:val=""/>
      <w:lvlJc w:val="left"/>
      <w:pPr>
        <w:ind w:left="912" w:hanging="360"/>
      </w:pPr>
      <w:rPr>
        <w:rFonts w:ascii="Symbol" w:hAnsi="Symbol" w:hint="default"/>
      </w:rPr>
    </w:lvl>
    <w:lvl w:ilvl="1" w:tplc="04100003" w:tentative="1">
      <w:start w:val="1"/>
      <w:numFmt w:val="bullet"/>
      <w:lvlText w:val="o"/>
      <w:lvlJc w:val="left"/>
      <w:pPr>
        <w:ind w:left="1632" w:hanging="360"/>
      </w:pPr>
      <w:rPr>
        <w:rFonts w:ascii="Courier New" w:hAnsi="Courier New" w:hint="default"/>
      </w:rPr>
    </w:lvl>
    <w:lvl w:ilvl="2" w:tplc="04100005" w:tentative="1">
      <w:start w:val="1"/>
      <w:numFmt w:val="bullet"/>
      <w:lvlText w:val=""/>
      <w:lvlJc w:val="left"/>
      <w:pPr>
        <w:ind w:left="2352" w:hanging="360"/>
      </w:pPr>
      <w:rPr>
        <w:rFonts w:ascii="Wingdings" w:hAnsi="Wingdings" w:hint="default"/>
      </w:rPr>
    </w:lvl>
    <w:lvl w:ilvl="3" w:tplc="04100001" w:tentative="1">
      <w:start w:val="1"/>
      <w:numFmt w:val="bullet"/>
      <w:lvlText w:val=""/>
      <w:lvlJc w:val="left"/>
      <w:pPr>
        <w:ind w:left="3072" w:hanging="360"/>
      </w:pPr>
      <w:rPr>
        <w:rFonts w:ascii="Symbol" w:hAnsi="Symbol" w:hint="default"/>
      </w:rPr>
    </w:lvl>
    <w:lvl w:ilvl="4" w:tplc="04100003" w:tentative="1">
      <w:start w:val="1"/>
      <w:numFmt w:val="bullet"/>
      <w:lvlText w:val="o"/>
      <w:lvlJc w:val="left"/>
      <w:pPr>
        <w:ind w:left="3792" w:hanging="360"/>
      </w:pPr>
      <w:rPr>
        <w:rFonts w:ascii="Courier New" w:hAnsi="Courier New" w:hint="default"/>
      </w:rPr>
    </w:lvl>
    <w:lvl w:ilvl="5" w:tplc="04100005" w:tentative="1">
      <w:start w:val="1"/>
      <w:numFmt w:val="bullet"/>
      <w:lvlText w:val=""/>
      <w:lvlJc w:val="left"/>
      <w:pPr>
        <w:ind w:left="4512" w:hanging="360"/>
      </w:pPr>
      <w:rPr>
        <w:rFonts w:ascii="Wingdings" w:hAnsi="Wingdings" w:hint="default"/>
      </w:rPr>
    </w:lvl>
    <w:lvl w:ilvl="6" w:tplc="04100001" w:tentative="1">
      <w:start w:val="1"/>
      <w:numFmt w:val="bullet"/>
      <w:lvlText w:val=""/>
      <w:lvlJc w:val="left"/>
      <w:pPr>
        <w:ind w:left="5232" w:hanging="360"/>
      </w:pPr>
      <w:rPr>
        <w:rFonts w:ascii="Symbol" w:hAnsi="Symbol" w:hint="default"/>
      </w:rPr>
    </w:lvl>
    <w:lvl w:ilvl="7" w:tplc="04100003" w:tentative="1">
      <w:start w:val="1"/>
      <w:numFmt w:val="bullet"/>
      <w:lvlText w:val="o"/>
      <w:lvlJc w:val="left"/>
      <w:pPr>
        <w:ind w:left="5952" w:hanging="360"/>
      </w:pPr>
      <w:rPr>
        <w:rFonts w:ascii="Courier New" w:hAnsi="Courier New" w:hint="default"/>
      </w:rPr>
    </w:lvl>
    <w:lvl w:ilvl="8" w:tplc="04100005" w:tentative="1">
      <w:start w:val="1"/>
      <w:numFmt w:val="bullet"/>
      <w:lvlText w:val=""/>
      <w:lvlJc w:val="left"/>
      <w:pPr>
        <w:ind w:left="6672" w:hanging="360"/>
      </w:pPr>
      <w:rPr>
        <w:rFonts w:ascii="Wingdings" w:hAnsi="Wingdings" w:hint="default"/>
      </w:rPr>
    </w:lvl>
  </w:abstractNum>
  <w:abstractNum w:abstractNumId="3" w15:restartNumberingAfterBreak="0">
    <w:nsid w:val="12A74EDF"/>
    <w:multiLevelType w:val="hybridMultilevel"/>
    <w:tmpl w:val="ED349B6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42A4F7E"/>
    <w:multiLevelType w:val="hybridMultilevel"/>
    <w:tmpl w:val="99F01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126B7B"/>
    <w:multiLevelType w:val="hybridMultilevel"/>
    <w:tmpl w:val="2E1A0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A84A33"/>
    <w:multiLevelType w:val="hybridMultilevel"/>
    <w:tmpl w:val="8C62F276"/>
    <w:lvl w:ilvl="0" w:tplc="04100019">
      <w:start w:val="1"/>
      <w:numFmt w:val="lowerLetter"/>
      <w:lvlText w:val="%1."/>
      <w:lvlJc w:val="left"/>
      <w:pPr>
        <w:ind w:left="720" w:hanging="360"/>
      </w:pPr>
      <w:rPr>
        <w:rFonts w:hint="default"/>
      </w:rPr>
    </w:lvl>
    <w:lvl w:ilvl="1" w:tplc="57301E4A">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C810BF"/>
    <w:multiLevelType w:val="hybridMultilevel"/>
    <w:tmpl w:val="6B1A44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46C07E9"/>
    <w:multiLevelType w:val="hybridMultilevel"/>
    <w:tmpl w:val="715C6182"/>
    <w:lvl w:ilvl="0" w:tplc="D034DD08">
      <w:start w:val="7"/>
      <w:numFmt w:val="bullet"/>
      <w:lvlText w:val="-"/>
      <w:lvlJc w:val="left"/>
      <w:pPr>
        <w:ind w:left="360" w:hanging="360"/>
      </w:pPr>
      <w:rPr>
        <w:rFonts w:ascii="Calibri" w:eastAsiaTheme="minorEastAsia" w:hAnsi="Calibri" w:cs="Calibri"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442543"/>
    <w:multiLevelType w:val="hybridMultilevel"/>
    <w:tmpl w:val="49EC5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430E91"/>
    <w:multiLevelType w:val="hybridMultilevel"/>
    <w:tmpl w:val="ECC017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045AB5"/>
    <w:multiLevelType w:val="hybridMultilevel"/>
    <w:tmpl w:val="39A2546E"/>
    <w:lvl w:ilvl="0" w:tplc="D034DD08">
      <w:start w:val="7"/>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132FD0"/>
    <w:multiLevelType w:val="hybridMultilevel"/>
    <w:tmpl w:val="0CB6F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45815"/>
    <w:multiLevelType w:val="hybridMultilevel"/>
    <w:tmpl w:val="EA848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086BA5"/>
    <w:multiLevelType w:val="hybridMultilevel"/>
    <w:tmpl w:val="E90C10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715656"/>
    <w:multiLevelType w:val="multilevel"/>
    <w:tmpl w:val="B29CA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BC7FC9"/>
    <w:multiLevelType w:val="hybridMultilevel"/>
    <w:tmpl w:val="39D2A48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15:restartNumberingAfterBreak="0">
    <w:nsid w:val="426A0FAE"/>
    <w:multiLevelType w:val="hybridMultilevel"/>
    <w:tmpl w:val="69E6F5A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545331E"/>
    <w:multiLevelType w:val="hybridMultilevel"/>
    <w:tmpl w:val="39387D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C715C2"/>
    <w:multiLevelType w:val="hybridMultilevel"/>
    <w:tmpl w:val="EC04E9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9806D5"/>
    <w:multiLevelType w:val="hybridMultilevel"/>
    <w:tmpl w:val="9CD66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0E1078"/>
    <w:multiLevelType w:val="hybridMultilevel"/>
    <w:tmpl w:val="E514AF8A"/>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7B7AFF"/>
    <w:multiLevelType w:val="multilevel"/>
    <w:tmpl w:val="BBA65CC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15:restartNumberingAfterBreak="0">
    <w:nsid w:val="53005F6A"/>
    <w:multiLevelType w:val="hybridMultilevel"/>
    <w:tmpl w:val="6026EB6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57E403EA"/>
    <w:multiLevelType w:val="hybridMultilevel"/>
    <w:tmpl w:val="90A49084"/>
    <w:lvl w:ilvl="0" w:tplc="04100001">
      <w:start w:val="1"/>
      <w:numFmt w:val="bullet"/>
      <w:lvlText w:val=""/>
      <w:lvlJc w:val="left"/>
      <w:pPr>
        <w:ind w:left="912" w:hanging="360"/>
      </w:pPr>
      <w:rPr>
        <w:rFonts w:ascii="Symbol" w:hAnsi="Symbol" w:hint="default"/>
      </w:rPr>
    </w:lvl>
    <w:lvl w:ilvl="1" w:tplc="04100003" w:tentative="1">
      <w:start w:val="1"/>
      <w:numFmt w:val="bullet"/>
      <w:lvlText w:val="o"/>
      <w:lvlJc w:val="left"/>
      <w:pPr>
        <w:ind w:left="1632" w:hanging="360"/>
      </w:pPr>
      <w:rPr>
        <w:rFonts w:ascii="Courier New" w:hAnsi="Courier New" w:hint="default"/>
      </w:rPr>
    </w:lvl>
    <w:lvl w:ilvl="2" w:tplc="04100005" w:tentative="1">
      <w:start w:val="1"/>
      <w:numFmt w:val="bullet"/>
      <w:lvlText w:val=""/>
      <w:lvlJc w:val="left"/>
      <w:pPr>
        <w:ind w:left="2352" w:hanging="360"/>
      </w:pPr>
      <w:rPr>
        <w:rFonts w:ascii="Wingdings" w:hAnsi="Wingdings" w:hint="default"/>
      </w:rPr>
    </w:lvl>
    <w:lvl w:ilvl="3" w:tplc="04100001" w:tentative="1">
      <w:start w:val="1"/>
      <w:numFmt w:val="bullet"/>
      <w:lvlText w:val=""/>
      <w:lvlJc w:val="left"/>
      <w:pPr>
        <w:ind w:left="3072" w:hanging="360"/>
      </w:pPr>
      <w:rPr>
        <w:rFonts w:ascii="Symbol" w:hAnsi="Symbol" w:hint="default"/>
      </w:rPr>
    </w:lvl>
    <w:lvl w:ilvl="4" w:tplc="04100003" w:tentative="1">
      <w:start w:val="1"/>
      <w:numFmt w:val="bullet"/>
      <w:lvlText w:val="o"/>
      <w:lvlJc w:val="left"/>
      <w:pPr>
        <w:ind w:left="3792" w:hanging="360"/>
      </w:pPr>
      <w:rPr>
        <w:rFonts w:ascii="Courier New" w:hAnsi="Courier New" w:hint="default"/>
      </w:rPr>
    </w:lvl>
    <w:lvl w:ilvl="5" w:tplc="04100005" w:tentative="1">
      <w:start w:val="1"/>
      <w:numFmt w:val="bullet"/>
      <w:lvlText w:val=""/>
      <w:lvlJc w:val="left"/>
      <w:pPr>
        <w:ind w:left="4512" w:hanging="360"/>
      </w:pPr>
      <w:rPr>
        <w:rFonts w:ascii="Wingdings" w:hAnsi="Wingdings" w:hint="default"/>
      </w:rPr>
    </w:lvl>
    <w:lvl w:ilvl="6" w:tplc="04100001" w:tentative="1">
      <w:start w:val="1"/>
      <w:numFmt w:val="bullet"/>
      <w:lvlText w:val=""/>
      <w:lvlJc w:val="left"/>
      <w:pPr>
        <w:ind w:left="5232" w:hanging="360"/>
      </w:pPr>
      <w:rPr>
        <w:rFonts w:ascii="Symbol" w:hAnsi="Symbol" w:hint="default"/>
      </w:rPr>
    </w:lvl>
    <w:lvl w:ilvl="7" w:tplc="04100003" w:tentative="1">
      <w:start w:val="1"/>
      <w:numFmt w:val="bullet"/>
      <w:lvlText w:val="o"/>
      <w:lvlJc w:val="left"/>
      <w:pPr>
        <w:ind w:left="5952" w:hanging="360"/>
      </w:pPr>
      <w:rPr>
        <w:rFonts w:ascii="Courier New" w:hAnsi="Courier New" w:hint="default"/>
      </w:rPr>
    </w:lvl>
    <w:lvl w:ilvl="8" w:tplc="04100005" w:tentative="1">
      <w:start w:val="1"/>
      <w:numFmt w:val="bullet"/>
      <w:lvlText w:val=""/>
      <w:lvlJc w:val="left"/>
      <w:pPr>
        <w:ind w:left="6672" w:hanging="360"/>
      </w:pPr>
      <w:rPr>
        <w:rFonts w:ascii="Wingdings" w:hAnsi="Wingdings" w:hint="default"/>
      </w:rPr>
    </w:lvl>
  </w:abstractNum>
  <w:abstractNum w:abstractNumId="25" w15:restartNumberingAfterBreak="0">
    <w:nsid w:val="5DC221FD"/>
    <w:multiLevelType w:val="hybridMultilevel"/>
    <w:tmpl w:val="20D87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325A8A"/>
    <w:multiLevelType w:val="hybridMultilevel"/>
    <w:tmpl w:val="84042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054F46"/>
    <w:multiLevelType w:val="multilevel"/>
    <w:tmpl w:val="9586B65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33342F"/>
    <w:multiLevelType w:val="hybridMultilevel"/>
    <w:tmpl w:val="7BB8BA72"/>
    <w:lvl w:ilvl="0" w:tplc="D034DD08">
      <w:start w:val="7"/>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4A2D66"/>
    <w:multiLevelType w:val="hybridMultilevel"/>
    <w:tmpl w:val="B6C6749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A13797"/>
    <w:multiLevelType w:val="hybridMultilevel"/>
    <w:tmpl w:val="96944818"/>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31" w15:restartNumberingAfterBreak="0">
    <w:nsid w:val="64B950EC"/>
    <w:multiLevelType w:val="hybridMultilevel"/>
    <w:tmpl w:val="8AECFA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7EB73E5"/>
    <w:multiLevelType w:val="hybridMultilevel"/>
    <w:tmpl w:val="E48090B2"/>
    <w:lvl w:ilvl="0" w:tplc="D034DD08">
      <w:start w:val="7"/>
      <w:numFmt w:val="bullet"/>
      <w:lvlText w:val="-"/>
      <w:lvlJc w:val="left"/>
      <w:pPr>
        <w:ind w:left="360" w:hanging="360"/>
      </w:pPr>
      <w:rPr>
        <w:rFonts w:ascii="Calibri" w:eastAsiaTheme="minorEastAsia" w:hAnsi="Calibri" w:cs="Calibr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0A11F7B"/>
    <w:multiLevelType w:val="multilevel"/>
    <w:tmpl w:val="BFF466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9B6B36"/>
    <w:multiLevelType w:val="hybridMultilevel"/>
    <w:tmpl w:val="7EAE765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FD5C58"/>
    <w:multiLevelType w:val="hybridMultilevel"/>
    <w:tmpl w:val="DFC8A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95D3606"/>
    <w:multiLevelType w:val="hybridMultilevel"/>
    <w:tmpl w:val="8C30B5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BC51A4"/>
    <w:multiLevelType w:val="hybridMultilevel"/>
    <w:tmpl w:val="6B2CF9E8"/>
    <w:lvl w:ilvl="0" w:tplc="EDA21748">
      <w:start w:val="1"/>
      <w:numFmt w:val="bullet"/>
      <w:lvlText w:val=""/>
      <w:lvlJc w:val="left"/>
      <w:pPr>
        <w:tabs>
          <w:tab w:val="num" w:pos="720"/>
        </w:tabs>
        <w:ind w:left="720" w:hanging="360"/>
      </w:pPr>
      <w:rPr>
        <w:rFonts w:ascii="Symbol" w:hAnsi="Symbol" w:hint="default"/>
      </w:rPr>
    </w:lvl>
    <w:lvl w:ilvl="1" w:tplc="779AD95A">
      <w:start w:val="1"/>
      <w:numFmt w:val="bullet"/>
      <w:lvlText w:val=""/>
      <w:lvlJc w:val="left"/>
      <w:pPr>
        <w:tabs>
          <w:tab w:val="num" w:pos="1440"/>
        </w:tabs>
        <w:ind w:left="1440" w:hanging="360"/>
      </w:pPr>
      <w:rPr>
        <w:rFonts w:ascii="Symbol" w:hAnsi="Symbol" w:hint="default"/>
      </w:rPr>
    </w:lvl>
    <w:lvl w:ilvl="2" w:tplc="FF1C5EC4">
      <w:numFmt w:val="bullet"/>
      <w:lvlText w:val=""/>
      <w:lvlJc w:val="left"/>
      <w:pPr>
        <w:tabs>
          <w:tab w:val="num" w:pos="2160"/>
        </w:tabs>
        <w:ind w:left="2160" w:hanging="360"/>
      </w:pPr>
      <w:rPr>
        <w:rFonts w:ascii="Wingdings" w:hAnsi="Wingdings" w:hint="default"/>
      </w:rPr>
    </w:lvl>
    <w:lvl w:ilvl="3" w:tplc="FB50D242">
      <w:start w:val="1"/>
      <w:numFmt w:val="bullet"/>
      <w:lvlText w:val=""/>
      <w:lvlJc w:val="left"/>
      <w:pPr>
        <w:tabs>
          <w:tab w:val="num" w:pos="2880"/>
        </w:tabs>
        <w:ind w:left="2880" w:hanging="360"/>
      </w:pPr>
      <w:rPr>
        <w:rFonts w:ascii="Symbol" w:hAnsi="Symbol" w:hint="default"/>
      </w:rPr>
    </w:lvl>
    <w:lvl w:ilvl="4" w:tplc="D80857DA" w:tentative="1">
      <w:start w:val="1"/>
      <w:numFmt w:val="bullet"/>
      <w:lvlText w:val=""/>
      <w:lvlJc w:val="left"/>
      <w:pPr>
        <w:tabs>
          <w:tab w:val="num" w:pos="3600"/>
        </w:tabs>
        <w:ind w:left="3600" w:hanging="360"/>
      </w:pPr>
      <w:rPr>
        <w:rFonts w:ascii="Symbol" w:hAnsi="Symbol" w:hint="default"/>
      </w:rPr>
    </w:lvl>
    <w:lvl w:ilvl="5" w:tplc="B34AAD04" w:tentative="1">
      <w:start w:val="1"/>
      <w:numFmt w:val="bullet"/>
      <w:lvlText w:val=""/>
      <w:lvlJc w:val="left"/>
      <w:pPr>
        <w:tabs>
          <w:tab w:val="num" w:pos="4320"/>
        </w:tabs>
        <w:ind w:left="4320" w:hanging="360"/>
      </w:pPr>
      <w:rPr>
        <w:rFonts w:ascii="Symbol" w:hAnsi="Symbol" w:hint="default"/>
      </w:rPr>
    </w:lvl>
    <w:lvl w:ilvl="6" w:tplc="E824723C" w:tentative="1">
      <w:start w:val="1"/>
      <w:numFmt w:val="bullet"/>
      <w:lvlText w:val=""/>
      <w:lvlJc w:val="left"/>
      <w:pPr>
        <w:tabs>
          <w:tab w:val="num" w:pos="5040"/>
        </w:tabs>
        <w:ind w:left="5040" w:hanging="360"/>
      </w:pPr>
      <w:rPr>
        <w:rFonts w:ascii="Symbol" w:hAnsi="Symbol" w:hint="default"/>
      </w:rPr>
    </w:lvl>
    <w:lvl w:ilvl="7" w:tplc="D8E0AF8A" w:tentative="1">
      <w:start w:val="1"/>
      <w:numFmt w:val="bullet"/>
      <w:lvlText w:val=""/>
      <w:lvlJc w:val="left"/>
      <w:pPr>
        <w:tabs>
          <w:tab w:val="num" w:pos="5760"/>
        </w:tabs>
        <w:ind w:left="5760" w:hanging="360"/>
      </w:pPr>
      <w:rPr>
        <w:rFonts w:ascii="Symbol" w:hAnsi="Symbol" w:hint="default"/>
      </w:rPr>
    </w:lvl>
    <w:lvl w:ilvl="8" w:tplc="EE62EC0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DD357EB"/>
    <w:multiLevelType w:val="hybridMultilevel"/>
    <w:tmpl w:val="196EF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8039412">
    <w:abstractNumId w:val="38"/>
  </w:num>
  <w:num w:numId="2" w16cid:durableId="62946305">
    <w:abstractNumId w:val="19"/>
  </w:num>
  <w:num w:numId="3" w16cid:durableId="39131660">
    <w:abstractNumId w:val="1"/>
  </w:num>
  <w:num w:numId="4" w16cid:durableId="781455480">
    <w:abstractNumId w:val="6"/>
  </w:num>
  <w:num w:numId="5" w16cid:durableId="1229728096">
    <w:abstractNumId w:val="21"/>
  </w:num>
  <w:num w:numId="6" w16cid:durableId="716516828">
    <w:abstractNumId w:val="3"/>
  </w:num>
  <w:num w:numId="7" w16cid:durableId="1051209">
    <w:abstractNumId w:val="11"/>
  </w:num>
  <w:num w:numId="8" w16cid:durableId="85152994">
    <w:abstractNumId w:val="32"/>
  </w:num>
  <w:num w:numId="9" w16cid:durableId="1783768956">
    <w:abstractNumId w:val="7"/>
  </w:num>
  <w:num w:numId="10" w16cid:durableId="230819097">
    <w:abstractNumId w:val="34"/>
  </w:num>
  <w:num w:numId="11" w16cid:durableId="1600794231">
    <w:abstractNumId w:val="29"/>
  </w:num>
  <w:num w:numId="12" w16cid:durableId="796459723">
    <w:abstractNumId w:val="24"/>
  </w:num>
  <w:num w:numId="13" w16cid:durableId="1837264943">
    <w:abstractNumId w:val="16"/>
  </w:num>
  <w:num w:numId="14" w16cid:durableId="687411073">
    <w:abstractNumId w:val="37"/>
  </w:num>
  <w:num w:numId="15" w16cid:durableId="981546000">
    <w:abstractNumId w:val="8"/>
  </w:num>
  <w:num w:numId="16" w16cid:durableId="1555971249">
    <w:abstractNumId w:val="28"/>
  </w:num>
  <w:num w:numId="17" w16cid:durableId="550381156">
    <w:abstractNumId w:val="2"/>
  </w:num>
  <w:num w:numId="18" w16cid:durableId="370301213">
    <w:abstractNumId w:val="17"/>
  </w:num>
  <w:num w:numId="19" w16cid:durableId="142085198">
    <w:abstractNumId w:val="0"/>
  </w:num>
  <w:num w:numId="20" w16cid:durableId="352918866">
    <w:abstractNumId w:val="23"/>
  </w:num>
  <w:num w:numId="21" w16cid:durableId="1807813490">
    <w:abstractNumId w:val="9"/>
  </w:num>
  <w:num w:numId="22" w16cid:durableId="303853804">
    <w:abstractNumId w:val="10"/>
  </w:num>
  <w:num w:numId="23" w16cid:durableId="2039236780">
    <w:abstractNumId w:val="35"/>
  </w:num>
  <w:num w:numId="24" w16cid:durableId="854535566">
    <w:abstractNumId w:val="13"/>
  </w:num>
  <w:num w:numId="25" w16cid:durableId="2125615484">
    <w:abstractNumId w:val="14"/>
  </w:num>
  <w:num w:numId="26" w16cid:durableId="1874416190">
    <w:abstractNumId w:val="18"/>
  </w:num>
  <w:num w:numId="27" w16cid:durableId="1618221043">
    <w:abstractNumId w:val="20"/>
  </w:num>
  <w:num w:numId="28" w16cid:durableId="906185534">
    <w:abstractNumId w:val="4"/>
  </w:num>
  <w:num w:numId="29" w16cid:durableId="1723140768">
    <w:abstractNumId w:val="12"/>
  </w:num>
  <w:num w:numId="30" w16cid:durableId="1897543914">
    <w:abstractNumId w:val="26"/>
  </w:num>
  <w:num w:numId="31" w16cid:durableId="563218252">
    <w:abstractNumId w:val="5"/>
  </w:num>
  <w:num w:numId="32" w16cid:durableId="87240157">
    <w:abstractNumId w:val="22"/>
  </w:num>
  <w:num w:numId="33" w16cid:durableId="677732167">
    <w:abstractNumId w:val="15"/>
  </w:num>
  <w:num w:numId="34" w16cid:durableId="1857839052">
    <w:abstractNumId w:val="33"/>
  </w:num>
  <w:num w:numId="35" w16cid:durableId="733550084">
    <w:abstractNumId w:val="27"/>
  </w:num>
  <w:num w:numId="36" w16cid:durableId="1384333541">
    <w:abstractNumId w:val="31"/>
  </w:num>
  <w:num w:numId="37" w16cid:durableId="1980845350">
    <w:abstractNumId w:val="30"/>
  </w:num>
  <w:num w:numId="38" w16cid:durableId="2068336687">
    <w:abstractNumId w:val="36"/>
  </w:num>
  <w:num w:numId="39" w16cid:durableId="2478086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D46"/>
    <w:rsid w:val="00003A9C"/>
    <w:rsid w:val="00005E26"/>
    <w:rsid w:val="00014CDC"/>
    <w:rsid w:val="0002338D"/>
    <w:rsid w:val="00036E6D"/>
    <w:rsid w:val="0003713E"/>
    <w:rsid w:val="00041551"/>
    <w:rsid w:val="0004190D"/>
    <w:rsid w:val="00043AA2"/>
    <w:rsid w:val="00046A44"/>
    <w:rsid w:val="00055AE7"/>
    <w:rsid w:val="000655C8"/>
    <w:rsid w:val="0006779D"/>
    <w:rsid w:val="000701C4"/>
    <w:rsid w:val="0007641A"/>
    <w:rsid w:val="000777B6"/>
    <w:rsid w:val="00083A97"/>
    <w:rsid w:val="00085031"/>
    <w:rsid w:val="0009520D"/>
    <w:rsid w:val="00095F55"/>
    <w:rsid w:val="000A3612"/>
    <w:rsid w:val="000A4F60"/>
    <w:rsid w:val="000B40A9"/>
    <w:rsid w:val="000B79BA"/>
    <w:rsid w:val="000C52D2"/>
    <w:rsid w:val="000C6DEB"/>
    <w:rsid w:val="000D1C8A"/>
    <w:rsid w:val="000D2881"/>
    <w:rsid w:val="000D2F9E"/>
    <w:rsid w:val="000E1668"/>
    <w:rsid w:val="000E223E"/>
    <w:rsid w:val="000E40E6"/>
    <w:rsid w:val="000E79C2"/>
    <w:rsid w:val="000F3D20"/>
    <w:rsid w:val="001004A8"/>
    <w:rsid w:val="0010393E"/>
    <w:rsid w:val="00107445"/>
    <w:rsid w:val="001107CD"/>
    <w:rsid w:val="001230AF"/>
    <w:rsid w:val="001267CA"/>
    <w:rsid w:val="001305B9"/>
    <w:rsid w:val="0013507B"/>
    <w:rsid w:val="00136A03"/>
    <w:rsid w:val="00146947"/>
    <w:rsid w:val="0015320A"/>
    <w:rsid w:val="00153B8B"/>
    <w:rsid w:val="0015461F"/>
    <w:rsid w:val="00154F3A"/>
    <w:rsid w:val="00164807"/>
    <w:rsid w:val="00165386"/>
    <w:rsid w:val="00165C5C"/>
    <w:rsid w:val="00171B4A"/>
    <w:rsid w:val="00181201"/>
    <w:rsid w:val="00182976"/>
    <w:rsid w:val="00190F7C"/>
    <w:rsid w:val="00194AE4"/>
    <w:rsid w:val="001B0EAB"/>
    <w:rsid w:val="001B2191"/>
    <w:rsid w:val="001B750C"/>
    <w:rsid w:val="001D14D8"/>
    <w:rsid w:val="001D5DD9"/>
    <w:rsid w:val="001D6A18"/>
    <w:rsid w:val="001E6CA1"/>
    <w:rsid w:val="001F0B6B"/>
    <w:rsid w:val="001F1998"/>
    <w:rsid w:val="001F2D8C"/>
    <w:rsid w:val="001F5E5A"/>
    <w:rsid w:val="001F6C9F"/>
    <w:rsid w:val="00202450"/>
    <w:rsid w:val="00202C70"/>
    <w:rsid w:val="00203E07"/>
    <w:rsid w:val="00207ABF"/>
    <w:rsid w:val="0021442B"/>
    <w:rsid w:val="002270D8"/>
    <w:rsid w:val="00227BFF"/>
    <w:rsid w:val="00232090"/>
    <w:rsid w:val="0023388C"/>
    <w:rsid w:val="002363A9"/>
    <w:rsid w:val="0024097E"/>
    <w:rsid w:val="00247028"/>
    <w:rsid w:val="00247C0D"/>
    <w:rsid w:val="0025193D"/>
    <w:rsid w:val="00251F2D"/>
    <w:rsid w:val="00257E3A"/>
    <w:rsid w:val="002629C4"/>
    <w:rsid w:val="0026653A"/>
    <w:rsid w:val="002716AB"/>
    <w:rsid w:val="00275189"/>
    <w:rsid w:val="00276696"/>
    <w:rsid w:val="0028042E"/>
    <w:rsid w:val="0028401D"/>
    <w:rsid w:val="00285894"/>
    <w:rsid w:val="00286E44"/>
    <w:rsid w:val="00286FBD"/>
    <w:rsid w:val="00297A47"/>
    <w:rsid w:val="002B07F9"/>
    <w:rsid w:val="002B6DC9"/>
    <w:rsid w:val="002C3B69"/>
    <w:rsid w:val="002C7667"/>
    <w:rsid w:val="002E54B4"/>
    <w:rsid w:val="002F110C"/>
    <w:rsid w:val="002F4788"/>
    <w:rsid w:val="002F58EE"/>
    <w:rsid w:val="003000DB"/>
    <w:rsid w:val="00304162"/>
    <w:rsid w:val="00304BB0"/>
    <w:rsid w:val="003128FE"/>
    <w:rsid w:val="00316F48"/>
    <w:rsid w:val="00330BB3"/>
    <w:rsid w:val="0033717B"/>
    <w:rsid w:val="00347B58"/>
    <w:rsid w:val="003545C6"/>
    <w:rsid w:val="003569DC"/>
    <w:rsid w:val="0036421B"/>
    <w:rsid w:val="00371A24"/>
    <w:rsid w:val="003754F7"/>
    <w:rsid w:val="0039020F"/>
    <w:rsid w:val="00390937"/>
    <w:rsid w:val="00391BD3"/>
    <w:rsid w:val="003977A9"/>
    <w:rsid w:val="00397BE1"/>
    <w:rsid w:val="003B2986"/>
    <w:rsid w:val="003B7321"/>
    <w:rsid w:val="003C5B31"/>
    <w:rsid w:val="003D1D01"/>
    <w:rsid w:val="003D29AF"/>
    <w:rsid w:val="003D7950"/>
    <w:rsid w:val="003E64BF"/>
    <w:rsid w:val="003F2AEC"/>
    <w:rsid w:val="00405DB0"/>
    <w:rsid w:val="00416864"/>
    <w:rsid w:val="004201FB"/>
    <w:rsid w:val="004277BE"/>
    <w:rsid w:val="00441FD3"/>
    <w:rsid w:val="00443DCE"/>
    <w:rsid w:val="004632E0"/>
    <w:rsid w:val="00463AA3"/>
    <w:rsid w:val="00471DA0"/>
    <w:rsid w:val="004731B4"/>
    <w:rsid w:val="00474BF0"/>
    <w:rsid w:val="004761A7"/>
    <w:rsid w:val="0047799A"/>
    <w:rsid w:val="004817B3"/>
    <w:rsid w:val="00485116"/>
    <w:rsid w:val="00495BEE"/>
    <w:rsid w:val="004A09BB"/>
    <w:rsid w:val="004A1D72"/>
    <w:rsid w:val="004A49FA"/>
    <w:rsid w:val="004A5DFB"/>
    <w:rsid w:val="004C24D1"/>
    <w:rsid w:val="004C2A59"/>
    <w:rsid w:val="004C2FBF"/>
    <w:rsid w:val="004C3EE6"/>
    <w:rsid w:val="004C4C77"/>
    <w:rsid w:val="004C5381"/>
    <w:rsid w:val="004D12DD"/>
    <w:rsid w:val="004E173D"/>
    <w:rsid w:val="004E1F44"/>
    <w:rsid w:val="004E58BE"/>
    <w:rsid w:val="004E7CF7"/>
    <w:rsid w:val="004F0271"/>
    <w:rsid w:val="004F31AB"/>
    <w:rsid w:val="004F3D46"/>
    <w:rsid w:val="004F635A"/>
    <w:rsid w:val="00507A1A"/>
    <w:rsid w:val="00512C4D"/>
    <w:rsid w:val="00517E19"/>
    <w:rsid w:val="005206CA"/>
    <w:rsid w:val="005240FD"/>
    <w:rsid w:val="00532A87"/>
    <w:rsid w:val="00540030"/>
    <w:rsid w:val="00541E43"/>
    <w:rsid w:val="005429F6"/>
    <w:rsid w:val="0054622A"/>
    <w:rsid w:val="00547821"/>
    <w:rsid w:val="00551C12"/>
    <w:rsid w:val="00552224"/>
    <w:rsid w:val="0055563D"/>
    <w:rsid w:val="00562249"/>
    <w:rsid w:val="005760E3"/>
    <w:rsid w:val="005860BC"/>
    <w:rsid w:val="005974AE"/>
    <w:rsid w:val="005B30A7"/>
    <w:rsid w:val="005B4E2E"/>
    <w:rsid w:val="005C0143"/>
    <w:rsid w:val="005C0B88"/>
    <w:rsid w:val="005C4095"/>
    <w:rsid w:val="005C74C1"/>
    <w:rsid w:val="005E071A"/>
    <w:rsid w:val="005E1B6B"/>
    <w:rsid w:val="005F0AC7"/>
    <w:rsid w:val="005F0FDF"/>
    <w:rsid w:val="005F15F6"/>
    <w:rsid w:val="005F5900"/>
    <w:rsid w:val="005F6618"/>
    <w:rsid w:val="00600585"/>
    <w:rsid w:val="0060081E"/>
    <w:rsid w:val="00601459"/>
    <w:rsid w:val="006050A2"/>
    <w:rsid w:val="00606B0D"/>
    <w:rsid w:val="00607017"/>
    <w:rsid w:val="00612704"/>
    <w:rsid w:val="00620432"/>
    <w:rsid w:val="00620E01"/>
    <w:rsid w:val="00620E71"/>
    <w:rsid w:val="0062392A"/>
    <w:rsid w:val="00627AF9"/>
    <w:rsid w:val="00631745"/>
    <w:rsid w:val="0063195C"/>
    <w:rsid w:val="00641C84"/>
    <w:rsid w:val="00644D3D"/>
    <w:rsid w:val="006458D4"/>
    <w:rsid w:val="00647097"/>
    <w:rsid w:val="00652DDF"/>
    <w:rsid w:val="00654031"/>
    <w:rsid w:val="006662FF"/>
    <w:rsid w:val="006667F3"/>
    <w:rsid w:val="00671295"/>
    <w:rsid w:val="00671E1A"/>
    <w:rsid w:val="00672BD2"/>
    <w:rsid w:val="00672EF5"/>
    <w:rsid w:val="00674706"/>
    <w:rsid w:val="006817E0"/>
    <w:rsid w:val="006878AE"/>
    <w:rsid w:val="00690B30"/>
    <w:rsid w:val="006975EC"/>
    <w:rsid w:val="006B1828"/>
    <w:rsid w:val="006B4641"/>
    <w:rsid w:val="006B4858"/>
    <w:rsid w:val="006C1A74"/>
    <w:rsid w:val="006C312F"/>
    <w:rsid w:val="006C7ECE"/>
    <w:rsid w:val="006D4615"/>
    <w:rsid w:val="006D6A6D"/>
    <w:rsid w:val="006E1C47"/>
    <w:rsid w:val="006E7B26"/>
    <w:rsid w:val="006F1B7D"/>
    <w:rsid w:val="006F2D07"/>
    <w:rsid w:val="006F5AC2"/>
    <w:rsid w:val="007041AF"/>
    <w:rsid w:val="00704D0C"/>
    <w:rsid w:val="0070637D"/>
    <w:rsid w:val="00710AC7"/>
    <w:rsid w:val="007113F6"/>
    <w:rsid w:val="00711D42"/>
    <w:rsid w:val="00716EAC"/>
    <w:rsid w:val="007305DC"/>
    <w:rsid w:val="00731BF6"/>
    <w:rsid w:val="0074117D"/>
    <w:rsid w:val="00750D41"/>
    <w:rsid w:val="00754FFD"/>
    <w:rsid w:val="00756645"/>
    <w:rsid w:val="007576CA"/>
    <w:rsid w:val="00760D17"/>
    <w:rsid w:val="00760E68"/>
    <w:rsid w:val="00764DBC"/>
    <w:rsid w:val="00777138"/>
    <w:rsid w:val="00782638"/>
    <w:rsid w:val="007952D7"/>
    <w:rsid w:val="007A0664"/>
    <w:rsid w:val="007A1134"/>
    <w:rsid w:val="007A19E1"/>
    <w:rsid w:val="007A20F1"/>
    <w:rsid w:val="007A5D12"/>
    <w:rsid w:val="007A7124"/>
    <w:rsid w:val="007B01C8"/>
    <w:rsid w:val="007C2A63"/>
    <w:rsid w:val="007C489A"/>
    <w:rsid w:val="007D39D6"/>
    <w:rsid w:val="007D70A5"/>
    <w:rsid w:val="007E095E"/>
    <w:rsid w:val="007E0D76"/>
    <w:rsid w:val="007E2F76"/>
    <w:rsid w:val="007E2FF2"/>
    <w:rsid w:val="007F1EE9"/>
    <w:rsid w:val="007F3984"/>
    <w:rsid w:val="007F5150"/>
    <w:rsid w:val="007F7904"/>
    <w:rsid w:val="00807850"/>
    <w:rsid w:val="0081181A"/>
    <w:rsid w:val="00823311"/>
    <w:rsid w:val="0082556E"/>
    <w:rsid w:val="008256E8"/>
    <w:rsid w:val="00831E27"/>
    <w:rsid w:val="00836D8A"/>
    <w:rsid w:val="00842896"/>
    <w:rsid w:val="00843F06"/>
    <w:rsid w:val="00845AC0"/>
    <w:rsid w:val="00846A7A"/>
    <w:rsid w:val="00852EA6"/>
    <w:rsid w:val="00853253"/>
    <w:rsid w:val="00853D34"/>
    <w:rsid w:val="008555B1"/>
    <w:rsid w:val="00856328"/>
    <w:rsid w:val="00860656"/>
    <w:rsid w:val="00863B46"/>
    <w:rsid w:val="008644D3"/>
    <w:rsid w:val="00866BE7"/>
    <w:rsid w:val="00872AC2"/>
    <w:rsid w:val="008748C9"/>
    <w:rsid w:val="0087677E"/>
    <w:rsid w:val="00890919"/>
    <w:rsid w:val="008921C1"/>
    <w:rsid w:val="008931DA"/>
    <w:rsid w:val="00895048"/>
    <w:rsid w:val="008A1704"/>
    <w:rsid w:val="008A270D"/>
    <w:rsid w:val="008A34AB"/>
    <w:rsid w:val="008B08BC"/>
    <w:rsid w:val="008B1E69"/>
    <w:rsid w:val="008C09F4"/>
    <w:rsid w:val="008C0DB1"/>
    <w:rsid w:val="008D5CF6"/>
    <w:rsid w:val="008E078D"/>
    <w:rsid w:val="009143F5"/>
    <w:rsid w:val="009179D6"/>
    <w:rsid w:val="00927060"/>
    <w:rsid w:val="0093396D"/>
    <w:rsid w:val="009348CE"/>
    <w:rsid w:val="00936B2B"/>
    <w:rsid w:val="00940496"/>
    <w:rsid w:val="009421AA"/>
    <w:rsid w:val="00947CBF"/>
    <w:rsid w:val="009507D9"/>
    <w:rsid w:val="009507F1"/>
    <w:rsid w:val="00950B9A"/>
    <w:rsid w:val="00954759"/>
    <w:rsid w:val="00964A95"/>
    <w:rsid w:val="009660C4"/>
    <w:rsid w:val="0097684A"/>
    <w:rsid w:val="0098108F"/>
    <w:rsid w:val="00981EFF"/>
    <w:rsid w:val="0098445C"/>
    <w:rsid w:val="00984873"/>
    <w:rsid w:val="0098593F"/>
    <w:rsid w:val="00995262"/>
    <w:rsid w:val="0099535B"/>
    <w:rsid w:val="0099702C"/>
    <w:rsid w:val="009A100B"/>
    <w:rsid w:val="009A25E7"/>
    <w:rsid w:val="009A5BFE"/>
    <w:rsid w:val="009A7084"/>
    <w:rsid w:val="009B27DC"/>
    <w:rsid w:val="009C1A96"/>
    <w:rsid w:val="009C71D7"/>
    <w:rsid w:val="009D1BF5"/>
    <w:rsid w:val="009D5B97"/>
    <w:rsid w:val="009D7837"/>
    <w:rsid w:val="009F71E5"/>
    <w:rsid w:val="00A13050"/>
    <w:rsid w:val="00A132C6"/>
    <w:rsid w:val="00A14193"/>
    <w:rsid w:val="00A17245"/>
    <w:rsid w:val="00A175ED"/>
    <w:rsid w:val="00A340A1"/>
    <w:rsid w:val="00A4119D"/>
    <w:rsid w:val="00A44427"/>
    <w:rsid w:val="00A46726"/>
    <w:rsid w:val="00A47326"/>
    <w:rsid w:val="00A51532"/>
    <w:rsid w:val="00A55410"/>
    <w:rsid w:val="00A602BF"/>
    <w:rsid w:val="00A67F94"/>
    <w:rsid w:val="00A80DA9"/>
    <w:rsid w:val="00A83EDC"/>
    <w:rsid w:val="00A85F73"/>
    <w:rsid w:val="00A86491"/>
    <w:rsid w:val="00A9321C"/>
    <w:rsid w:val="00A96B5C"/>
    <w:rsid w:val="00A9793A"/>
    <w:rsid w:val="00AA11EA"/>
    <w:rsid w:val="00AA337F"/>
    <w:rsid w:val="00AB1C12"/>
    <w:rsid w:val="00AC0832"/>
    <w:rsid w:val="00AD17F5"/>
    <w:rsid w:val="00AD679E"/>
    <w:rsid w:val="00AE1E01"/>
    <w:rsid w:val="00AF4B43"/>
    <w:rsid w:val="00B00843"/>
    <w:rsid w:val="00B00E24"/>
    <w:rsid w:val="00B020DD"/>
    <w:rsid w:val="00B12A6F"/>
    <w:rsid w:val="00B21E39"/>
    <w:rsid w:val="00B24080"/>
    <w:rsid w:val="00B24DBA"/>
    <w:rsid w:val="00B35C61"/>
    <w:rsid w:val="00B4101D"/>
    <w:rsid w:val="00B42387"/>
    <w:rsid w:val="00B4299B"/>
    <w:rsid w:val="00B433D6"/>
    <w:rsid w:val="00B46358"/>
    <w:rsid w:val="00B47DEE"/>
    <w:rsid w:val="00B52EC6"/>
    <w:rsid w:val="00B53BFB"/>
    <w:rsid w:val="00B5436F"/>
    <w:rsid w:val="00B55A27"/>
    <w:rsid w:val="00B72D17"/>
    <w:rsid w:val="00B80024"/>
    <w:rsid w:val="00B830AE"/>
    <w:rsid w:val="00B8510D"/>
    <w:rsid w:val="00B87F29"/>
    <w:rsid w:val="00B910D4"/>
    <w:rsid w:val="00B97303"/>
    <w:rsid w:val="00B977C0"/>
    <w:rsid w:val="00BA21AA"/>
    <w:rsid w:val="00BA47E6"/>
    <w:rsid w:val="00BB0D08"/>
    <w:rsid w:val="00BB34E7"/>
    <w:rsid w:val="00BC6C58"/>
    <w:rsid w:val="00BD3604"/>
    <w:rsid w:val="00BD4592"/>
    <w:rsid w:val="00BD5F47"/>
    <w:rsid w:val="00BE05CF"/>
    <w:rsid w:val="00BE06AC"/>
    <w:rsid w:val="00BF3D79"/>
    <w:rsid w:val="00C119C5"/>
    <w:rsid w:val="00C1666E"/>
    <w:rsid w:val="00C227F2"/>
    <w:rsid w:val="00C329CE"/>
    <w:rsid w:val="00C32F4C"/>
    <w:rsid w:val="00C510C4"/>
    <w:rsid w:val="00C5190F"/>
    <w:rsid w:val="00C56898"/>
    <w:rsid w:val="00C57F7D"/>
    <w:rsid w:val="00C6176E"/>
    <w:rsid w:val="00C7447C"/>
    <w:rsid w:val="00C7485C"/>
    <w:rsid w:val="00C85ECE"/>
    <w:rsid w:val="00C97D33"/>
    <w:rsid w:val="00CA5AF7"/>
    <w:rsid w:val="00CB15EF"/>
    <w:rsid w:val="00CB16A5"/>
    <w:rsid w:val="00CB304F"/>
    <w:rsid w:val="00CB6438"/>
    <w:rsid w:val="00CB6C9C"/>
    <w:rsid w:val="00CC7A7F"/>
    <w:rsid w:val="00CD6590"/>
    <w:rsid w:val="00CE0D92"/>
    <w:rsid w:val="00CE2643"/>
    <w:rsid w:val="00CF1FBF"/>
    <w:rsid w:val="00D13DFD"/>
    <w:rsid w:val="00D15A28"/>
    <w:rsid w:val="00D215BE"/>
    <w:rsid w:val="00D330E9"/>
    <w:rsid w:val="00D3383D"/>
    <w:rsid w:val="00D400D3"/>
    <w:rsid w:val="00D40BBA"/>
    <w:rsid w:val="00D413B8"/>
    <w:rsid w:val="00D448AE"/>
    <w:rsid w:val="00D453A0"/>
    <w:rsid w:val="00D47740"/>
    <w:rsid w:val="00D50A74"/>
    <w:rsid w:val="00D60851"/>
    <w:rsid w:val="00D66476"/>
    <w:rsid w:val="00D704E1"/>
    <w:rsid w:val="00D70772"/>
    <w:rsid w:val="00D71B36"/>
    <w:rsid w:val="00D75515"/>
    <w:rsid w:val="00D75E01"/>
    <w:rsid w:val="00D77FAA"/>
    <w:rsid w:val="00D83295"/>
    <w:rsid w:val="00D83EC7"/>
    <w:rsid w:val="00D87C32"/>
    <w:rsid w:val="00D93C23"/>
    <w:rsid w:val="00D94414"/>
    <w:rsid w:val="00D94FDF"/>
    <w:rsid w:val="00DA6954"/>
    <w:rsid w:val="00DB52DA"/>
    <w:rsid w:val="00DB5455"/>
    <w:rsid w:val="00DB6407"/>
    <w:rsid w:val="00DB65C7"/>
    <w:rsid w:val="00DB6775"/>
    <w:rsid w:val="00DC090F"/>
    <w:rsid w:val="00DC353E"/>
    <w:rsid w:val="00DC44CC"/>
    <w:rsid w:val="00DC77D3"/>
    <w:rsid w:val="00DD58ED"/>
    <w:rsid w:val="00DD7F2D"/>
    <w:rsid w:val="00DE2C45"/>
    <w:rsid w:val="00DF7740"/>
    <w:rsid w:val="00E022AA"/>
    <w:rsid w:val="00E03086"/>
    <w:rsid w:val="00E062D0"/>
    <w:rsid w:val="00E11141"/>
    <w:rsid w:val="00E12E6F"/>
    <w:rsid w:val="00E16C85"/>
    <w:rsid w:val="00E3047E"/>
    <w:rsid w:val="00E37B60"/>
    <w:rsid w:val="00E41DF7"/>
    <w:rsid w:val="00E42A85"/>
    <w:rsid w:val="00E43E49"/>
    <w:rsid w:val="00E470EE"/>
    <w:rsid w:val="00E504BA"/>
    <w:rsid w:val="00E51676"/>
    <w:rsid w:val="00E55EC2"/>
    <w:rsid w:val="00E57FE8"/>
    <w:rsid w:val="00E60DCF"/>
    <w:rsid w:val="00E672DA"/>
    <w:rsid w:val="00E70787"/>
    <w:rsid w:val="00E7179F"/>
    <w:rsid w:val="00E7345F"/>
    <w:rsid w:val="00E95A2C"/>
    <w:rsid w:val="00EA1091"/>
    <w:rsid w:val="00EB2614"/>
    <w:rsid w:val="00EB553A"/>
    <w:rsid w:val="00EC2AC4"/>
    <w:rsid w:val="00EC2F04"/>
    <w:rsid w:val="00ED6C39"/>
    <w:rsid w:val="00ED7B7C"/>
    <w:rsid w:val="00EE051E"/>
    <w:rsid w:val="00EE0A8D"/>
    <w:rsid w:val="00EE11A6"/>
    <w:rsid w:val="00EE4DC0"/>
    <w:rsid w:val="00EF55AA"/>
    <w:rsid w:val="00EF7574"/>
    <w:rsid w:val="00F13A61"/>
    <w:rsid w:val="00F13DA0"/>
    <w:rsid w:val="00F16DD5"/>
    <w:rsid w:val="00F2307B"/>
    <w:rsid w:val="00F24DE4"/>
    <w:rsid w:val="00F27653"/>
    <w:rsid w:val="00F276DD"/>
    <w:rsid w:val="00F32A4A"/>
    <w:rsid w:val="00F511C5"/>
    <w:rsid w:val="00F512CC"/>
    <w:rsid w:val="00F5188C"/>
    <w:rsid w:val="00F52544"/>
    <w:rsid w:val="00F567CD"/>
    <w:rsid w:val="00F620AA"/>
    <w:rsid w:val="00F66E1E"/>
    <w:rsid w:val="00F70C8B"/>
    <w:rsid w:val="00F71A83"/>
    <w:rsid w:val="00F771C3"/>
    <w:rsid w:val="00F77A8C"/>
    <w:rsid w:val="00F811A3"/>
    <w:rsid w:val="00F81F8E"/>
    <w:rsid w:val="00F867EB"/>
    <w:rsid w:val="00F91A4F"/>
    <w:rsid w:val="00F9431B"/>
    <w:rsid w:val="00F969AD"/>
    <w:rsid w:val="00FA04C2"/>
    <w:rsid w:val="00FA5B0A"/>
    <w:rsid w:val="00FA5B52"/>
    <w:rsid w:val="00FB1EA1"/>
    <w:rsid w:val="00FB2E29"/>
    <w:rsid w:val="00FC588F"/>
    <w:rsid w:val="00FC5BF0"/>
    <w:rsid w:val="00FD4FB2"/>
    <w:rsid w:val="00FD7C5E"/>
    <w:rsid w:val="00FE7A8F"/>
    <w:rsid w:val="00FF2AAA"/>
    <w:rsid w:val="00FF5222"/>
    <w:rsid w:val="00FF6460"/>
    <w:rsid w:val="021ABF31"/>
    <w:rsid w:val="0273CA51"/>
    <w:rsid w:val="07A362B2"/>
    <w:rsid w:val="0A00B796"/>
    <w:rsid w:val="0A2C1FA5"/>
    <w:rsid w:val="0C8C062A"/>
    <w:rsid w:val="0D8A8344"/>
    <w:rsid w:val="0DC85524"/>
    <w:rsid w:val="0EE8997B"/>
    <w:rsid w:val="107D22FB"/>
    <w:rsid w:val="10FF88F1"/>
    <w:rsid w:val="119B467A"/>
    <w:rsid w:val="12635E52"/>
    <w:rsid w:val="135D058C"/>
    <w:rsid w:val="14D11970"/>
    <w:rsid w:val="160FE475"/>
    <w:rsid w:val="196D064B"/>
    <w:rsid w:val="1ACDBD99"/>
    <w:rsid w:val="242B3AFA"/>
    <w:rsid w:val="243E0AF9"/>
    <w:rsid w:val="27E5C16C"/>
    <w:rsid w:val="2945D75B"/>
    <w:rsid w:val="2AACF08F"/>
    <w:rsid w:val="2B505D74"/>
    <w:rsid w:val="2C077712"/>
    <w:rsid w:val="3020A261"/>
    <w:rsid w:val="354AFB9F"/>
    <w:rsid w:val="38011D40"/>
    <w:rsid w:val="394AA746"/>
    <w:rsid w:val="39727BFC"/>
    <w:rsid w:val="39E32342"/>
    <w:rsid w:val="3A82EDD8"/>
    <w:rsid w:val="3C7148B2"/>
    <w:rsid w:val="3E22DDCF"/>
    <w:rsid w:val="4711EF08"/>
    <w:rsid w:val="4A4000CB"/>
    <w:rsid w:val="4B33D68B"/>
    <w:rsid w:val="504084E1"/>
    <w:rsid w:val="52BE3E15"/>
    <w:rsid w:val="53D7EA2B"/>
    <w:rsid w:val="5BCFC163"/>
    <w:rsid w:val="5DFB0775"/>
    <w:rsid w:val="60EE8FF6"/>
    <w:rsid w:val="62A8107B"/>
    <w:rsid w:val="63027FA1"/>
    <w:rsid w:val="633CDCA0"/>
    <w:rsid w:val="63E82FA8"/>
    <w:rsid w:val="643DF031"/>
    <w:rsid w:val="65316ACF"/>
    <w:rsid w:val="6536F806"/>
    <w:rsid w:val="693B3E25"/>
    <w:rsid w:val="69B323FA"/>
    <w:rsid w:val="6B385216"/>
    <w:rsid w:val="6CDB596F"/>
    <w:rsid w:val="6F08D85F"/>
    <w:rsid w:val="72BFC8C1"/>
    <w:rsid w:val="73A0C5C6"/>
    <w:rsid w:val="743301D9"/>
    <w:rsid w:val="75E37B91"/>
    <w:rsid w:val="7F4BAB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D4AEA9"/>
  <w14:defaultImageDpi w14:val="300"/>
  <w15:docId w15:val="{7BE1ADAE-4C8C-4EC5-ABFA-9FC5B027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510D"/>
    <w:pPr>
      <w:jc w:val="both"/>
    </w:pPr>
    <w:rPr>
      <w:rFonts w:ascii="Montserrat Light" w:hAnsi="Montserrat Light"/>
    </w:rPr>
  </w:style>
  <w:style w:type="paragraph" w:styleId="Heading1">
    <w:name w:val="heading 1"/>
    <w:basedOn w:val="Normal"/>
    <w:next w:val="Normal"/>
    <w:link w:val="Heading1Char"/>
    <w:uiPriority w:val="9"/>
    <w:qFormat/>
    <w:rsid w:val="004A1D72"/>
    <w:pPr>
      <w:keepNext/>
      <w:keepLines/>
      <w:numPr>
        <w:numId w:val="35"/>
      </w:numPr>
      <w:spacing w:before="480"/>
      <w:outlineLvl w:val="0"/>
    </w:pPr>
    <w:rPr>
      <w:rFonts w:eastAsiaTheme="majorEastAsia" w:cstheme="majorBidi"/>
      <w:b/>
      <w:bCs/>
      <w:color w:val="1F497D" w:themeColor="text2"/>
      <w:sz w:val="32"/>
      <w:szCs w:val="32"/>
    </w:rPr>
  </w:style>
  <w:style w:type="paragraph" w:styleId="Heading2">
    <w:name w:val="heading 2"/>
    <w:basedOn w:val="Normal"/>
    <w:next w:val="Normal"/>
    <w:link w:val="Heading2Char"/>
    <w:uiPriority w:val="9"/>
    <w:unhideWhenUsed/>
    <w:qFormat/>
    <w:rsid w:val="0098108F"/>
    <w:pPr>
      <w:keepNext/>
      <w:keepLines/>
      <w:numPr>
        <w:ilvl w:val="1"/>
        <w:numId w:val="35"/>
      </w:numPr>
      <w:spacing w:before="200"/>
      <w:ind w:left="0" w:firstLine="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iPriority w:val="9"/>
    <w:unhideWhenUsed/>
    <w:qFormat/>
    <w:rsid w:val="0098108F"/>
    <w:pPr>
      <w:keepNext/>
      <w:keepLines/>
      <w:numPr>
        <w:ilvl w:val="2"/>
        <w:numId w:val="35"/>
      </w:numPr>
      <w:spacing w:before="200"/>
      <w:ind w:left="0" w:firstLine="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23388C"/>
    <w:pPr>
      <w:keepNext/>
      <w:keepLines/>
      <w:numPr>
        <w:ilvl w:val="3"/>
        <w:numId w:val="35"/>
      </w:numPr>
      <w:spacing w:before="40"/>
      <w:ind w:left="0" w:firstLine="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DDF"/>
    <w:pPr>
      <w:ind w:left="720"/>
      <w:contextualSpacing/>
    </w:pPr>
  </w:style>
  <w:style w:type="paragraph" w:styleId="Header">
    <w:name w:val="header"/>
    <w:basedOn w:val="Normal"/>
    <w:link w:val="HeaderChar"/>
    <w:uiPriority w:val="99"/>
    <w:unhideWhenUsed/>
    <w:rsid w:val="0013507B"/>
    <w:pPr>
      <w:tabs>
        <w:tab w:val="center" w:pos="4819"/>
        <w:tab w:val="right" w:pos="9638"/>
      </w:tabs>
    </w:pPr>
  </w:style>
  <w:style w:type="character" w:customStyle="1" w:styleId="HeaderChar">
    <w:name w:val="Header Char"/>
    <w:basedOn w:val="DefaultParagraphFont"/>
    <w:link w:val="Header"/>
    <w:uiPriority w:val="99"/>
    <w:rsid w:val="0013507B"/>
  </w:style>
  <w:style w:type="paragraph" w:styleId="Footer">
    <w:name w:val="footer"/>
    <w:basedOn w:val="Normal"/>
    <w:link w:val="FooterChar"/>
    <w:uiPriority w:val="99"/>
    <w:unhideWhenUsed/>
    <w:rsid w:val="0013507B"/>
    <w:pPr>
      <w:tabs>
        <w:tab w:val="center" w:pos="4819"/>
        <w:tab w:val="right" w:pos="9638"/>
      </w:tabs>
    </w:pPr>
  </w:style>
  <w:style w:type="character" w:customStyle="1" w:styleId="FooterChar">
    <w:name w:val="Footer Char"/>
    <w:basedOn w:val="DefaultParagraphFont"/>
    <w:link w:val="Footer"/>
    <w:uiPriority w:val="99"/>
    <w:rsid w:val="0013507B"/>
  </w:style>
  <w:style w:type="paragraph" w:styleId="BalloonText">
    <w:name w:val="Balloon Text"/>
    <w:basedOn w:val="Normal"/>
    <w:link w:val="BalloonTextChar"/>
    <w:uiPriority w:val="99"/>
    <w:semiHidden/>
    <w:unhideWhenUsed/>
    <w:rsid w:val="001350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07B"/>
    <w:rPr>
      <w:rFonts w:ascii="Lucida Grande" w:hAnsi="Lucida Grande" w:cs="Lucida Grande"/>
      <w:sz w:val="18"/>
      <w:szCs w:val="18"/>
    </w:rPr>
  </w:style>
  <w:style w:type="character" w:styleId="PageNumber">
    <w:name w:val="page number"/>
    <w:basedOn w:val="DefaultParagraphFont"/>
    <w:uiPriority w:val="99"/>
    <w:semiHidden/>
    <w:unhideWhenUsed/>
    <w:rsid w:val="00CB6438"/>
  </w:style>
  <w:style w:type="character" w:customStyle="1" w:styleId="Heading1Char">
    <w:name w:val="Heading 1 Char"/>
    <w:basedOn w:val="DefaultParagraphFont"/>
    <w:link w:val="Heading1"/>
    <w:uiPriority w:val="9"/>
    <w:rsid w:val="004A1D72"/>
    <w:rPr>
      <w:rFonts w:ascii="Franklin Gothic Book" w:eastAsiaTheme="majorEastAsia" w:hAnsi="Franklin Gothic Book" w:cstheme="majorBidi"/>
      <w:b/>
      <w:bCs/>
      <w:color w:val="1F497D" w:themeColor="text2"/>
      <w:sz w:val="32"/>
      <w:szCs w:val="32"/>
    </w:rPr>
  </w:style>
  <w:style w:type="table" w:styleId="TableGrid">
    <w:name w:val="Table Grid"/>
    <w:basedOn w:val="TableNormal"/>
    <w:uiPriority w:val="59"/>
    <w:rsid w:val="009B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8108F"/>
    <w:rPr>
      <w:rFonts w:ascii="Franklin Gothic Book" w:eastAsiaTheme="majorEastAsia" w:hAnsi="Franklin Gothic Book" w:cstheme="majorBidi"/>
      <w:b/>
      <w:bCs/>
      <w:color w:val="1F497D" w:themeColor="text2"/>
      <w:sz w:val="26"/>
      <w:szCs w:val="26"/>
    </w:rPr>
  </w:style>
  <w:style w:type="paragraph" w:styleId="Caption">
    <w:name w:val="caption"/>
    <w:basedOn w:val="Normal"/>
    <w:next w:val="Normal"/>
    <w:uiPriority w:val="35"/>
    <w:unhideWhenUsed/>
    <w:qFormat/>
    <w:rsid w:val="007952D7"/>
    <w:pPr>
      <w:spacing w:after="200"/>
    </w:pPr>
    <w:rPr>
      <w:b/>
      <w:bCs/>
      <w:color w:val="4F81BD" w:themeColor="accent1"/>
      <w:sz w:val="18"/>
      <w:szCs w:val="18"/>
    </w:rPr>
  </w:style>
  <w:style w:type="paragraph" w:styleId="NormalWeb">
    <w:name w:val="Normal (Web)"/>
    <w:basedOn w:val="Normal"/>
    <w:uiPriority w:val="99"/>
    <w:semiHidden/>
    <w:unhideWhenUsed/>
    <w:rsid w:val="00756645"/>
    <w:pPr>
      <w:spacing w:before="100" w:beforeAutospacing="1" w:after="100" w:afterAutospacing="1"/>
    </w:pPr>
    <w:rPr>
      <w:rFonts w:ascii="Times" w:hAnsi="Times" w:cs="Times New Roman"/>
      <w:sz w:val="20"/>
      <w:szCs w:val="20"/>
    </w:rPr>
  </w:style>
  <w:style w:type="table" w:styleId="ColorfulGrid">
    <w:name w:val="Colorful Grid"/>
    <w:basedOn w:val="TableNormal"/>
    <w:uiPriority w:val="73"/>
    <w:rsid w:val="002F110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eading3Char">
    <w:name w:val="Heading 3 Char"/>
    <w:basedOn w:val="DefaultParagraphFont"/>
    <w:link w:val="Heading3"/>
    <w:uiPriority w:val="9"/>
    <w:rsid w:val="0098108F"/>
    <w:rPr>
      <w:rFonts w:ascii="Franklin Gothic Book" w:eastAsiaTheme="majorEastAsia" w:hAnsi="Franklin Gothic Book" w:cstheme="majorBidi"/>
      <w:b/>
      <w:bCs/>
      <w:color w:val="4F81BD" w:themeColor="accent1"/>
    </w:rPr>
  </w:style>
  <w:style w:type="paragraph" w:styleId="TOC1">
    <w:name w:val="toc 1"/>
    <w:basedOn w:val="Normal"/>
    <w:next w:val="Normal"/>
    <w:autoRedefine/>
    <w:uiPriority w:val="39"/>
    <w:unhideWhenUsed/>
    <w:rsid w:val="008644D3"/>
    <w:pPr>
      <w:spacing w:before="120"/>
      <w:jc w:val="left"/>
    </w:pPr>
    <w:rPr>
      <w:b/>
      <w:bCs/>
      <w:color w:val="548DD4"/>
    </w:rPr>
  </w:style>
  <w:style w:type="paragraph" w:styleId="TOC2">
    <w:name w:val="toc 2"/>
    <w:basedOn w:val="Normal"/>
    <w:next w:val="Normal"/>
    <w:autoRedefine/>
    <w:uiPriority w:val="39"/>
    <w:unhideWhenUsed/>
    <w:rsid w:val="008644D3"/>
    <w:pPr>
      <w:jc w:val="left"/>
    </w:pPr>
    <w:rPr>
      <w:rFonts w:asciiTheme="minorHAnsi" w:hAnsiTheme="minorHAnsi"/>
      <w:sz w:val="22"/>
      <w:szCs w:val="22"/>
    </w:rPr>
  </w:style>
  <w:style w:type="paragraph" w:styleId="TOC3">
    <w:name w:val="toc 3"/>
    <w:basedOn w:val="Normal"/>
    <w:next w:val="Normal"/>
    <w:autoRedefine/>
    <w:uiPriority w:val="39"/>
    <w:unhideWhenUsed/>
    <w:rsid w:val="008644D3"/>
    <w:pPr>
      <w:ind w:left="240"/>
      <w:jc w:val="left"/>
    </w:pPr>
    <w:rPr>
      <w:rFonts w:asciiTheme="minorHAnsi" w:hAnsiTheme="minorHAnsi"/>
      <w:i/>
      <w:iCs/>
      <w:sz w:val="22"/>
      <w:szCs w:val="22"/>
    </w:rPr>
  </w:style>
  <w:style w:type="paragraph" w:styleId="TOC4">
    <w:name w:val="toc 4"/>
    <w:basedOn w:val="Normal"/>
    <w:next w:val="Normal"/>
    <w:autoRedefine/>
    <w:uiPriority w:val="39"/>
    <w:unhideWhenUsed/>
    <w:rsid w:val="004E1F44"/>
    <w:pPr>
      <w:pBdr>
        <w:between w:val="double" w:sz="6" w:space="0" w:color="auto"/>
      </w:pBdr>
      <w:ind w:left="480"/>
      <w:jc w:val="left"/>
    </w:pPr>
    <w:rPr>
      <w:rFonts w:asciiTheme="minorHAnsi" w:hAnsiTheme="minorHAnsi"/>
      <w:sz w:val="20"/>
      <w:szCs w:val="20"/>
    </w:rPr>
  </w:style>
  <w:style w:type="paragraph" w:styleId="TOC5">
    <w:name w:val="toc 5"/>
    <w:basedOn w:val="Normal"/>
    <w:next w:val="Normal"/>
    <w:autoRedefine/>
    <w:uiPriority w:val="39"/>
    <w:unhideWhenUsed/>
    <w:rsid w:val="004E1F44"/>
    <w:pPr>
      <w:pBdr>
        <w:between w:val="double" w:sz="6" w:space="0" w:color="auto"/>
      </w:pBdr>
      <w:ind w:left="720"/>
      <w:jc w:val="left"/>
    </w:pPr>
    <w:rPr>
      <w:rFonts w:asciiTheme="minorHAnsi" w:hAnsiTheme="minorHAnsi"/>
      <w:sz w:val="20"/>
      <w:szCs w:val="20"/>
    </w:rPr>
  </w:style>
  <w:style w:type="paragraph" w:styleId="TOC6">
    <w:name w:val="toc 6"/>
    <w:basedOn w:val="Normal"/>
    <w:next w:val="Normal"/>
    <w:autoRedefine/>
    <w:uiPriority w:val="39"/>
    <w:unhideWhenUsed/>
    <w:rsid w:val="004E1F44"/>
    <w:pPr>
      <w:pBdr>
        <w:between w:val="double" w:sz="6" w:space="0" w:color="auto"/>
      </w:pBdr>
      <w:ind w:left="960"/>
      <w:jc w:val="left"/>
    </w:pPr>
    <w:rPr>
      <w:rFonts w:asciiTheme="minorHAnsi" w:hAnsiTheme="minorHAnsi"/>
      <w:sz w:val="20"/>
      <w:szCs w:val="20"/>
    </w:rPr>
  </w:style>
  <w:style w:type="paragraph" w:styleId="TOC7">
    <w:name w:val="toc 7"/>
    <w:basedOn w:val="Normal"/>
    <w:next w:val="Normal"/>
    <w:autoRedefine/>
    <w:uiPriority w:val="39"/>
    <w:unhideWhenUsed/>
    <w:rsid w:val="004E1F44"/>
    <w:pPr>
      <w:pBdr>
        <w:between w:val="double" w:sz="6" w:space="0" w:color="auto"/>
      </w:pBdr>
      <w:ind w:left="1200"/>
      <w:jc w:val="left"/>
    </w:pPr>
    <w:rPr>
      <w:rFonts w:asciiTheme="minorHAnsi" w:hAnsiTheme="minorHAnsi"/>
      <w:sz w:val="20"/>
      <w:szCs w:val="20"/>
    </w:rPr>
  </w:style>
  <w:style w:type="paragraph" w:styleId="TOC8">
    <w:name w:val="toc 8"/>
    <w:basedOn w:val="Normal"/>
    <w:next w:val="Normal"/>
    <w:autoRedefine/>
    <w:uiPriority w:val="39"/>
    <w:unhideWhenUsed/>
    <w:rsid w:val="004E1F44"/>
    <w:pPr>
      <w:pBdr>
        <w:between w:val="double" w:sz="6" w:space="0" w:color="auto"/>
      </w:pBdr>
      <w:ind w:left="1440"/>
      <w:jc w:val="left"/>
    </w:pPr>
    <w:rPr>
      <w:rFonts w:asciiTheme="minorHAnsi" w:hAnsiTheme="minorHAnsi"/>
      <w:sz w:val="20"/>
      <w:szCs w:val="20"/>
    </w:rPr>
  </w:style>
  <w:style w:type="paragraph" w:styleId="TOC9">
    <w:name w:val="toc 9"/>
    <w:basedOn w:val="Normal"/>
    <w:next w:val="Normal"/>
    <w:autoRedefine/>
    <w:uiPriority w:val="39"/>
    <w:unhideWhenUsed/>
    <w:rsid w:val="004E1F44"/>
    <w:pPr>
      <w:pBdr>
        <w:between w:val="double" w:sz="6" w:space="0" w:color="auto"/>
      </w:pBdr>
      <w:ind w:left="1680"/>
      <w:jc w:val="left"/>
    </w:pPr>
    <w:rPr>
      <w:rFonts w:asciiTheme="minorHAnsi" w:hAnsiTheme="minorHAnsi"/>
      <w:sz w:val="20"/>
      <w:szCs w:val="20"/>
    </w:rPr>
  </w:style>
  <w:style w:type="table" w:styleId="LightShading-Accent1">
    <w:name w:val="Light Shading Accent 1"/>
    <w:basedOn w:val="TableNormal"/>
    <w:uiPriority w:val="60"/>
    <w:rsid w:val="006B4641"/>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6B4641"/>
    <w:rPr>
      <w:rFonts w:ascii="PMingLiU" w:hAnsi="PMingLiU"/>
      <w:sz w:val="22"/>
      <w:szCs w:val="22"/>
    </w:rPr>
  </w:style>
  <w:style w:type="character" w:customStyle="1" w:styleId="NoSpacingChar">
    <w:name w:val="No Spacing Char"/>
    <w:basedOn w:val="DefaultParagraphFont"/>
    <w:link w:val="NoSpacing"/>
    <w:rsid w:val="006B4641"/>
    <w:rPr>
      <w:rFonts w:ascii="PMingLiU" w:hAnsi="PMingLiU"/>
      <w:sz w:val="22"/>
      <w:szCs w:val="22"/>
    </w:rPr>
  </w:style>
  <w:style w:type="paragraph" w:styleId="Revision">
    <w:name w:val="Revision"/>
    <w:hidden/>
    <w:uiPriority w:val="99"/>
    <w:semiHidden/>
    <w:rsid w:val="00F81F8E"/>
    <w:rPr>
      <w:rFonts w:asciiTheme="majorHAnsi" w:hAnsiTheme="majorHAnsi"/>
    </w:rPr>
  </w:style>
  <w:style w:type="character" w:styleId="CommentReference">
    <w:name w:val="annotation reference"/>
    <w:basedOn w:val="DefaultParagraphFont"/>
    <w:uiPriority w:val="99"/>
    <w:semiHidden/>
    <w:unhideWhenUsed/>
    <w:rsid w:val="00641C84"/>
    <w:rPr>
      <w:sz w:val="18"/>
      <w:szCs w:val="18"/>
    </w:rPr>
  </w:style>
  <w:style w:type="paragraph" w:styleId="CommentText">
    <w:name w:val="annotation text"/>
    <w:basedOn w:val="Normal"/>
    <w:link w:val="CommentTextChar"/>
    <w:uiPriority w:val="99"/>
    <w:unhideWhenUsed/>
    <w:rsid w:val="00641C84"/>
  </w:style>
  <w:style w:type="character" w:customStyle="1" w:styleId="CommentTextChar">
    <w:name w:val="Comment Text Char"/>
    <w:basedOn w:val="DefaultParagraphFont"/>
    <w:link w:val="CommentText"/>
    <w:uiPriority w:val="99"/>
    <w:rsid w:val="00641C84"/>
    <w:rPr>
      <w:rFonts w:asciiTheme="majorHAnsi" w:hAnsiTheme="majorHAnsi"/>
    </w:rPr>
  </w:style>
  <w:style w:type="paragraph" w:styleId="CommentSubject">
    <w:name w:val="annotation subject"/>
    <w:basedOn w:val="CommentText"/>
    <w:next w:val="CommentText"/>
    <w:link w:val="CommentSubjectChar"/>
    <w:uiPriority w:val="99"/>
    <w:semiHidden/>
    <w:unhideWhenUsed/>
    <w:rsid w:val="00641C84"/>
    <w:rPr>
      <w:b/>
      <w:bCs/>
      <w:sz w:val="20"/>
      <w:szCs w:val="20"/>
    </w:rPr>
  </w:style>
  <w:style w:type="character" w:customStyle="1" w:styleId="CommentSubjectChar">
    <w:name w:val="Comment Subject Char"/>
    <w:basedOn w:val="CommentTextChar"/>
    <w:link w:val="CommentSubject"/>
    <w:uiPriority w:val="99"/>
    <w:semiHidden/>
    <w:rsid w:val="00641C84"/>
    <w:rPr>
      <w:rFonts w:asciiTheme="majorHAnsi" w:hAnsiTheme="majorHAnsi"/>
      <w:b/>
      <w:bCs/>
      <w:sz w:val="20"/>
      <w:szCs w:val="20"/>
    </w:rPr>
  </w:style>
  <w:style w:type="table" w:styleId="MediumShading1-Accent1">
    <w:name w:val="Medium Shading 1 Accent 1"/>
    <w:basedOn w:val="TableNormal"/>
    <w:uiPriority w:val="63"/>
    <w:rsid w:val="009A100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9A100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4Char">
    <w:name w:val="Heading 4 Char"/>
    <w:basedOn w:val="DefaultParagraphFont"/>
    <w:link w:val="Heading4"/>
    <w:uiPriority w:val="9"/>
    <w:rsid w:val="0023388C"/>
    <w:rPr>
      <w:rFonts w:asciiTheme="majorHAnsi" w:eastAsiaTheme="majorEastAsia" w:hAnsiTheme="majorHAnsi" w:cstheme="majorBidi"/>
      <w:i/>
      <w:iCs/>
      <w:color w:val="365F91" w:themeColor="accent1" w:themeShade="BF"/>
    </w:rPr>
  </w:style>
  <w:style w:type="table" w:customStyle="1" w:styleId="GridTable4-Accent51">
    <w:name w:val="Grid Table 4 - Accent 51"/>
    <w:basedOn w:val="TableNormal"/>
    <w:uiPriority w:val="49"/>
    <w:rsid w:val="0021442B"/>
    <w:rPr>
      <w:rFonts w:eastAsia="Calibri"/>
      <w:sz w:val="22"/>
      <w:szCs w:val="22"/>
      <w:lang w:val="en-US" w:eastAsia="en-US"/>
    </w:rPr>
    <w:tblPr>
      <w:tblStyleRowBandSize w:val="1"/>
      <w:tblStyleColBandSize w:val="1"/>
      <w:tblBorders>
        <w:top w:val="single" w:sz="4" w:space="0" w:color="7EC492"/>
        <w:left w:val="single" w:sz="4" w:space="0" w:color="7EC492"/>
        <w:bottom w:val="single" w:sz="4" w:space="0" w:color="7EC492"/>
        <w:right w:val="single" w:sz="4" w:space="0" w:color="7EC492"/>
        <w:insideH w:val="single" w:sz="4" w:space="0" w:color="7EC492"/>
        <w:insideV w:val="single" w:sz="4" w:space="0" w:color="7EC492"/>
      </w:tblBorders>
    </w:tblPr>
    <w:tblStylePr w:type="firstRow">
      <w:rPr>
        <w:b/>
        <w:bCs/>
        <w:color w:val="FFFFFF"/>
      </w:rPr>
      <w:tblPr/>
      <w:tcPr>
        <w:tcBorders>
          <w:top w:val="single" w:sz="4" w:space="0" w:color="3E8853"/>
          <w:left w:val="single" w:sz="4" w:space="0" w:color="3E8853"/>
          <w:bottom w:val="single" w:sz="4" w:space="0" w:color="3E8853"/>
          <w:right w:val="single" w:sz="4" w:space="0" w:color="3E8853"/>
          <w:insideH w:val="nil"/>
          <w:insideV w:val="nil"/>
        </w:tcBorders>
        <w:shd w:val="clear" w:color="auto" w:fill="3E8853"/>
      </w:tcPr>
    </w:tblStylePr>
    <w:tblStylePr w:type="lastRow">
      <w:rPr>
        <w:b/>
        <w:bCs/>
      </w:rPr>
      <w:tblPr/>
      <w:tcPr>
        <w:tcBorders>
          <w:top w:val="double" w:sz="4" w:space="0" w:color="3E8853"/>
        </w:tcBorders>
      </w:tcPr>
    </w:tblStylePr>
    <w:tblStylePr w:type="firstCol">
      <w:rPr>
        <w:b/>
        <w:bCs/>
      </w:rPr>
    </w:tblStylePr>
    <w:tblStylePr w:type="lastCol">
      <w:rPr>
        <w:b/>
        <w:bCs/>
      </w:rPr>
    </w:tblStylePr>
    <w:tblStylePr w:type="band1Vert">
      <w:tblPr/>
      <w:tcPr>
        <w:shd w:val="clear" w:color="auto" w:fill="D3EBDA"/>
      </w:tcPr>
    </w:tblStylePr>
    <w:tblStylePr w:type="band1Horz">
      <w:tblPr/>
      <w:tcPr>
        <w:shd w:val="clear" w:color="auto" w:fill="D3EBDA"/>
      </w:tcPr>
    </w:tblStylePr>
  </w:style>
  <w:style w:type="table" w:styleId="ListTable4-Accent1">
    <w:name w:val="List Table 4 Accent 1"/>
    <w:basedOn w:val="TableNormal"/>
    <w:uiPriority w:val="49"/>
    <w:rsid w:val="002144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4F3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D4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B1EA1"/>
    <w:rPr>
      <w:color w:val="0000FF" w:themeColor="hyperlink"/>
      <w:u w:val="single"/>
    </w:rPr>
  </w:style>
  <w:style w:type="character" w:styleId="UnresolvedMention">
    <w:name w:val="Unresolved Mention"/>
    <w:basedOn w:val="DefaultParagraphFont"/>
    <w:uiPriority w:val="99"/>
    <w:rsid w:val="00FB1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287815">
      <w:bodyDiv w:val="1"/>
      <w:marLeft w:val="0"/>
      <w:marRight w:val="0"/>
      <w:marTop w:val="0"/>
      <w:marBottom w:val="0"/>
      <w:divBdr>
        <w:top w:val="none" w:sz="0" w:space="0" w:color="auto"/>
        <w:left w:val="none" w:sz="0" w:space="0" w:color="auto"/>
        <w:bottom w:val="none" w:sz="0" w:space="0" w:color="auto"/>
        <w:right w:val="none" w:sz="0" w:space="0" w:color="auto"/>
      </w:divBdr>
    </w:div>
    <w:div w:id="1760559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lasresearc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dalus.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F20A20038F91F43985182111D5EC213" ma:contentTypeVersion="11" ma:contentTypeDescription="Creare un nuovo documento." ma:contentTypeScope="" ma:versionID="fcd6936252c62e515b3e8068f6017e2b">
  <xsd:schema xmlns:xsd="http://www.w3.org/2001/XMLSchema" xmlns:xs="http://www.w3.org/2001/XMLSchema" xmlns:p="http://schemas.microsoft.com/office/2006/metadata/properties" xmlns:ns2="90dee030-bf63-4979-93aa-55818e6ab47e" xmlns:ns3="8c19c25e-6b48-4687-9e05-bd22d97b5a74" targetNamespace="http://schemas.microsoft.com/office/2006/metadata/properties" ma:root="true" ma:fieldsID="1b4e5d734aad961036cadfc779a8f080" ns2:_="" ns3:_="">
    <xsd:import namespace="90dee030-bf63-4979-93aa-55818e6ab47e"/>
    <xsd:import namespace="8c19c25e-6b48-4687-9e05-bd22d97b5a7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ee030-bf63-4979-93aa-55818e6ab47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 immagine"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9c25e-6b48-4687-9e05-bd22d97b5a7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bd4cfe-3e24-4791-8049-74473972cb72}" ma:internalName="TaxCatchAll" ma:showField="CatchAllData" ma:web="8c19c25e-6b48-4687-9e05-bd22d97b5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c19c25e-6b48-4687-9e05-bd22d97b5a74" xsi:nil="true"/>
    <lcf76f155ced4ddcb4097134ff3c332f xmlns="90dee030-bf63-4979-93aa-55818e6ab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B03FF0-319A-4AFC-91AD-E79F3A1EC975}">
  <ds:schemaRefs>
    <ds:schemaRef ds:uri="http://schemas.microsoft.com/sharepoint/v3/contenttype/forms"/>
  </ds:schemaRefs>
</ds:datastoreItem>
</file>

<file path=customXml/itemProps2.xml><?xml version="1.0" encoding="utf-8"?>
<ds:datastoreItem xmlns:ds="http://schemas.openxmlformats.org/officeDocument/2006/customXml" ds:itemID="{B5EAC71C-5F4C-46ED-8890-C8EE8DBA9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ee030-bf63-4979-93aa-55818e6ab47e"/>
    <ds:schemaRef ds:uri="8c19c25e-6b48-4687-9e05-bd22d97b5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48A854-717E-6047-98DC-F30CF9628EFD}">
  <ds:schemaRefs>
    <ds:schemaRef ds:uri="http://schemas.openxmlformats.org/officeDocument/2006/bibliography"/>
  </ds:schemaRefs>
</ds:datastoreItem>
</file>

<file path=customXml/itemProps4.xml><?xml version="1.0" encoding="utf-8"?>
<ds:datastoreItem xmlns:ds="http://schemas.openxmlformats.org/officeDocument/2006/customXml" ds:itemID="{DE0800D6-A8C5-46F5-9996-0057D1444ADA}">
  <ds:schemaRefs>
    <ds:schemaRef ds:uri="http://schemas.microsoft.com/office/2006/metadata/properties"/>
    <ds:schemaRef ds:uri="http://schemas.microsoft.com/office/infopath/2007/PartnerControls"/>
    <ds:schemaRef ds:uri="8c19c25e-6b48-4687-9e05-bd22d97b5a74"/>
    <ds:schemaRef ds:uri="90dee030-bf63-4979-93aa-55818e6ab47e"/>
  </ds:schemaRefs>
</ds:datastoreItem>
</file>

<file path=docMetadata/LabelInfo.xml><?xml version="1.0" encoding="utf-8"?>
<clbl:labelList xmlns:clbl="http://schemas.microsoft.com/office/2020/mipLabelMetadata">
  <clbl:label id="{9ffff5c3-bdfa-4a9d-b595-ff68329945ef}" enabled="0" method="" siteId="{9ffff5c3-bdfa-4a9d-b595-ff68329945ef}"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3215</Characters>
  <Application>Microsoft Office Word</Application>
  <DocSecurity>0</DocSecurity>
  <Lines>26</Lines>
  <Paragraphs>7</Paragraphs>
  <ScaleCrop>false</ScaleCrop>
  <Company>Hewlett-Packard Company</Company>
  <LinksUpToDate>false</LinksUpToDate>
  <CharactersWithSpaces>3772</CharactersWithSpaces>
  <SharedDoc>false</SharedDoc>
  <HLinks>
    <vt:vector size="24" baseType="variant">
      <vt:variant>
        <vt:i4>4980827</vt:i4>
      </vt:variant>
      <vt:variant>
        <vt:i4>6</vt:i4>
      </vt:variant>
      <vt:variant>
        <vt:i4>0</vt:i4>
      </vt:variant>
      <vt:variant>
        <vt:i4>5</vt:i4>
      </vt:variant>
      <vt:variant>
        <vt:lpwstr>http://www.klasresearch.com/</vt:lpwstr>
      </vt:variant>
      <vt:variant>
        <vt:lpwstr/>
      </vt:variant>
      <vt:variant>
        <vt:i4>3801184</vt:i4>
      </vt:variant>
      <vt:variant>
        <vt:i4>3</vt:i4>
      </vt:variant>
      <vt:variant>
        <vt:i4>0</vt:i4>
      </vt:variant>
      <vt:variant>
        <vt:i4>5</vt:i4>
      </vt:variant>
      <vt:variant>
        <vt:lpwstr>http://www.dedalus.com/</vt:lpwstr>
      </vt:variant>
      <vt:variant>
        <vt:lpwstr/>
      </vt:variant>
      <vt:variant>
        <vt:i4>983046</vt:i4>
      </vt:variant>
      <vt:variant>
        <vt:i4>0</vt:i4>
      </vt:variant>
      <vt:variant>
        <vt:i4>0</vt:i4>
      </vt:variant>
      <vt:variant>
        <vt:i4>5</vt:i4>
      </vt:variant>
      <vt:variant>
        <vt:lpwstr>https://klasresearch.com/report/global-acute-care-ehr-market-share-2025-large-regional-decisions-impact-a-broad-number-of-hospitals/3725</vt:lpwstr>
      </vt:variant>
      <vt:variant>
        <vt:lpwstr/>
      </vt:variant>
      <vt:variant>
        <vt:i4>983046</vt:i4>
      </vt:variant>
      <vt:variant>
        <vt:i4>0</vt:i4>
      </vt:variant>
      <vt:variant>
        <vt:i4>0</vt:i4>
      </vt:variant>
      <vt:variant>
        <vt:i4>5</vt:i4>
      </vt:variant>
      <vt:variant>
        <vt:lpwstr>https://klasresearch.com/report/global-acute-care-ehr-market-share-2025-large-regional-decisions-impact-a-broad-number-of-hospitals/3725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Lemaire</dc:creator>
  <cp:keywords/>
  <cp:lastModifiedBy>Therese Minehan Williams</cp:lastModifiedBy>
  <cp:revision>2</cp:revision>
  <cp:lastPrinted>2023-07-17T07:48:00Z</cp:lastPrinted>
  <dcterms:created xsi:type="dcterms:W3CDTF">2025-07-22T21:57:00Z</dcterms:created>
  <dcterms:modified xsi:type="dcterms:W3CDTF">2025-07-22T21:57:00Z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0x010100FF20A20038F91F43985182111D5EC213</vt:lpwstr>
  </property>
  <property fmtid="{D5CDD505-2E9C-101B-9397-08002B2CF9AE}" pid="3" name="Order">
    <vt:r8>67900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